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bookmarkStart w:id="0" w:name="_GoBack"/>
      <w:bookmarkEnd w:id="0"/>
      <w:r w:rsidRPr="00446F9D">
        <w:t>TSG-RAN WG1 #</w:t>
      </w:r>
      <w:r w:rsidR="008F6929">
        <w:t>85</w:t>
      </w:r>
      <w:r w:rsidRPr="00446F9D">
        <w:tab/>
        <w:t>R1-</w:t>
      </w:r>
      <w:r w:rsidR="008C639D">
        <w:t>16</w:t>
      </w:r>
      <w:r w:rsidR="0006723B">
        <w:t>5351</w:t>
      </w:r>
    </w:p>
    <w:p w:rsidR="00FE5799" w:rsidRPr="000833FA" w:rsidRDefault="008F6929" w:rsidP="00FE5799">
      <w:pPr>
        <w:pStyle w:val="Header"/>
        <w:rPr>
          <w:color w:val="000000"/>
        </w:rPr>
      </w:pPr>
      <w:r>
        <w:t>Nanjing, China</w:t>
      </w:r>
      <w:r w:rsidR="00FE5799" w:rsidRPr="000833FA">
        <w:t>,</w:t>
      </w:r>
      <w:r>
        <w:t xml:space="preserve"> May 23 – 27</w:t>
      </w:r>
      <w:r w:rsidR="00FE5799">
        <w:t>,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r w:rsidR="00AF4093">
        <w:t>, Telstra</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AE0917" w:rsidRPr="00AE0917">
        <w:t>Frequency-dependence of LSPs</w:t>
      </w:r>
    </w:p>
    <w:p w:rsidR="00FE5799" w:rsidRPr="0003368D" w:rsidRDefault="00FE5799" w:rsidP="00FE5799">
      <w:pPr>
        <w:pStyle w:val="Header"/>
        <w:tabs>
          <w:tab w:val="left" w:pos="1800"/>
        </w:tabs>
      </w:pPr>
      <w:r w:rsidRPr="0003368D">
        <w:t>Agenda Item:</w:t>
      </w:r>
      <w:bookmarkStart w:id="2" w:name="Source"/>
      <w:bookmarkEnd w:id="2"/>
      <w:r w:rsidRPr="0003368D">
        <w:tab/>
      </w:r>
      <w:r w:rsidR="00B1745E">
        <w:t>7.</w:t>
      </w:r>
      <w:r w:rsidR="00AE0917">
        <w:t>2</w:t>
      </w:r>
      <w:r w:rsidR="00B1745E">
        <w:t>.</w:t>
      </w:r>
      <w:r w:rsidR="00AE0917">
        <w:t>2</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582543" w:rsidP="00FE5799">
      <w:pPr>
        <w:pStyle w:val="Heading1"/>
      </w:pPr>
      <w:r>
        <w:t>Background</w:t>
      </w:r>
    </w:p>
    <w:p w:rsidR="00582543" w:rsidRDefault="00B46F77" w:rsidP="00582543">
      <w:pPr>
        <w:pStyle w:val="BodyText"/>
      </w:pPr>
      <w:r>
        <w:t xml:space="preserve">The discussion on whether certain LSPs such as </w:t>
      </w:r>
      <w:proofErr w:type="spellStart"/>
      <w:r>
        <w:t>rms</w:t>
      </w:r>
      <w:proofErr w:type="spellEnd"/>
      <w:r>
        <w:t xml:space="preserve"> delay spread and angular spread are frequency-dependent have been ongoing since the start of the channel model SI. The current agr</w:t>
      </w:r>
      <w:r w:rsidR="00443918">
        <w:t>eements and working assumptions</w:t>
      </w:r>
      <w:r>
        <w:t xml:space="preserve"> on LSPs for the different scenarios </w:t>
      </w:r>
      <w:r w:rsidR="00443918">
        <w:fldChar w:fldCharType="begin"/>
      </w:r>
      <w:r w:rsidR="00443918">
        <w:instrText xml:space="preserve"> REF _Ref450951777 \r </w:instrText>
      </w:r>
      <w:r w:rsidR="00443918">
        <w:fldChar w:fldCharType="separate"/>
      </w:r>
      <w:r w:rsidR="00443918">
        <w:t>[21</w:t>
      </w:r>
      <w:proofErr w:type="gramStart"/>
      <w:r w:rsidR="00443918">
        <w:t>]</w:t>
      </w:r>
      <w:proofErr w:type="gramEnd"/>
      <w:r w:rsidR="00443918">
        <w:fldChar w:fldCharType="end"/>
      </w:r>
      <w:r w:rsidR="00443918">
        <w:fldChar w:fldCharType="begin"/>
      </w:r>
      <w:r w:rsidR="00443918">
        <w:instrText xml:space="preserve"> REF _Ref450951780 \r </w:instrText>
      </w:r>
      <w:r w:rsidR="00443918">
        <w:fldChar w:fldCharType="separate"/>
      </w:r>
      <w:r w:rsidR="00443918">
        <w:t>[22]</w:t>
      </w:r>
      <w:r w:rsidR="00443918">
        <w:fldChar w:fldCharType="end"/>
      </w:r>
      <w:r w:rsidR="00443918">
        <w:fldChar w:fldCharType="begin"/>
      </w:r>
      <w:r w:rsidR="00443918">
        <w:instrText xml:space="preserve"> REF _Ref450951782 \r </w:instrText>
      </w:r>
      <w:r w:rsidR="00443918">
        <w:fldChar w:fldCharType="separate"/>
      </w:r>
      <w:r w:rsidR="00443918">
        <w:t>[23]</w:t>
      </w:r>
      <w:r w:rsidR="00443918">
        <w:fldChar w:fldCharType="end"/>
      </w:r>
      <w:r w:rsidR="00443918">
        <w:t xml:space="preserve"> </w:t>
      </w:r>
      <w:r>
        <w:t xml:space="preserve">include frequency-dependent functions for several LSPs, although some of these are still within square brackets. </w:t>
      </w:r>
    </w:p>
    <w:p w:rsidR="00935D22" w:rsidRDefault="00B46F77" w:rsidP="00935D22">
      <w:pPr>
        <w:pStyle w:val="BodyText"/>
      </w:pPr>
      <w:r>
        <w:t xml:space="preserve">Since there are a lot of views and opinions on this topic, this contribution aims at a comprehensive review of the frequency-dependent trends that have been observed in the literature together with an analysis of whether these </w:t>
      </w:r>
      <w:r w:rsidR="00D249DF">
        <w:t>trends</w:t>
      </w:r>
      <w:r>
        <w:t xml:space="preserve"> stand up to closer scrutiny. </w:t>
      </w:r>
    </w:p>
    <w:p w:rsidR="001C4859" w:rsidRDefault="001C4859" w:rsidP="00582543">
      <w:pPr>
        <w:pStyle w:val="Heading1"/>
      </w:pPr>
      <w:bookmarkStart w:id="4" w:name="_Ref450937502"/>
      <w:r>
        <w:t>Comparability of measurements at different frequency bands</w:t>
      </w:r>
      <w:bookmarkEnd w:id="4"/>
    </w:p>
    <w:p w:rsidR="001C4859" w:rsidRDefault="003F5DDC" w:rsidP="001C4859">
      <w:pPr>
        <w:pStyle w:val="BodyText"/>
      </w:pPr>
      <w:r>
        <w:t xml:space="preserve">To be able to draw any conclusions on frequency trends of e.g. LSPs, measurements at multiple frequency bands are needed. But this is not </w:t>
      </w:r>
      <w:r w:rsidR="00CC1489">
        <w:t>enough;</w:t>
      </w:r>
      <w:r>
        <w:t xml:space="preserve"> one needs to ensure that the measurement data is captured under comparable conditions</w:t>
      </w:r>
      <w:r w:rsidR="0019051E">
        <w:t xml:space="preserve"> and analyzed with comparable methods</w:t>
      </w:r>
      <w:r>
        <w:t xml:space="preserve">. This is discussed at length in </w:t>
      </w:r>
      <w:r>
        <w:fldChar w:fldCharType="begin"/>
      </w:r>
      <w:r>
        <w:instrText xml:space="preserve"> REF _Ref450935028 \r </w:instrText>
      </w:r>
      <w:r>
        <w:fldChar w:fldCharType="separate"/>
      </w:r>
      <w:r w:rsidR="0019051E">
        <w:t>[1]</w:t>
      </w:r>
      <w:r>
        <w:fldChar w:fldCharType="end"/>
      </w:r>
      <w:r>
        <w:t xml:space="preserve">, where the following set of guidelines </w:t>
      </w:r>
      <w:r w:rsidR="00CC1489">
        <w:t>is given:</w:t>
      </w:r>
    </w:p>
    <w:p w:rsidR="00CC1489" w:rsidRDefault="00CC1489" w:rsidP="00CC1489">
      <w:pPr>
        <w:pStyle w:val="BodyText"/>
        <w:numPr>
          <w:ilvl w:val="0"/>
          <w:numId w:val="9"/>
        </w:numPr>
      </w:pPr>
      <w:r>
        <w:t>The same measurement bandwidth should be used</w:t>
      </w:r>
    </w:p>
    <w:p w:rsidR="00CC1489" w:rsidRDefault="00CC1489" w:rsidP="00CC1489">
      <w:pPr>
        <w:pStyle w:val="BodyText"/>
        <w:numPr>
          <w:ilvl w:val="0"/>
          <w:numId w:val="9"/>
        </w:numPr>
      </w:pPr>
      <w:r>
        <w:t>Equal antenna pattern should be used (may also be synthesized)</w:t>
      </w:r>
    </w:p>
    <w:p w:rsidR="00CC1489" w:rsidRDefault="00CC1489" w:rsidP="00CC1489">
      <w:pPr>
        <w:pStyle w:val="BodyText"/>
        <w:numPr>
          <w:ilvl w:val="0"/>
          <w:numId w:val="9"/>
        </w:numPr>
      </w:pPr>
      <w:r>
        <w:t>Equal dynamic range should be used, both in delay and angle domains</w:t>
      </w:r>
    </w:p>
    <w:p w:rsidR="00CC1489" w:rsidRDefault="00CC1489" w:rsidP="00CC1489">
      <w:pPr>
        <w:pStyle w:val="BodyText"/>
        <w:numPr>
          <w:ilvl w:val="0"/>
          <w:numId w:val="9"/>
        </w:numPr>
      </w:pPr>
      <w:r>
        <w:t>When the channel is sampled in space the same volume in terms of number of wavelengths should be used</w:t>
      </w:r>
    </w:p>
    <w:p w:rsidR="00CC1489" w:rsidRDefault="00CC1489" w:rsidP="00CC1489">
      <w:pPr>
        <w:pStyle w:val="BodyText"/>
        <w:numPr>
          <w:ilvl w:val="0"/>
          <w:numId w:val="9"/>
        </w:numPr>
      </w:pPr>
      <w:r>
        <w:t>The environment should be equal i.e. same location and same variability in terms of moving people and vehicles etc.</w:t>
      </w:r>
    </w:p>
    <w:p w:rsidR="00CC1489" w:rsidRDefault="00CC1489" w:rsidP="00CC1489">
      <w:pPr>
        <w:pStyle w:val="BodyText"/>
        <w:numPr>
          <w:ilvl w:val="0"/>
          <w:numId w:val="9"/>
        </w:numPr>
      </w:pPr>
      <w:r>
        <w:t>Locations of antennas should be the same</w:t>
      </w:r>
    </w:p>
    <w:p w:rsidR="00CC1489" w:rsidRDefault="00CC1489" w:rsidP="00CC1489">
      <w:pPr>
        <w:pStyle w:val="BodyText"/>
        <w:numPr>
          <w:ilvl w:val="0"/>
          <w:numId w:val="9"/>
        </w:numPr>
      </w:pPr>
      <w:r>
        <w:t xml:space="preserve">The oxygen absorption at 60 GHz should be compensated for using propagation path lengths as agreed in </w:t>
      </w:r>
      <w:r>
        <w:fldChar w:fldCharType="begin"/>
      </w:r>
      <w:r>
        <w:instrText xml:space="preserve"> REF _Ref447149981 \r \h </w:instrText>
      </w:r>
      <w:r>
        <w:fldChar w:fldCharType="separate"/>
      </w:r>
      <w:r w:rsidR="0019051E">
        <w:t>[3]</w:t>
      </w:r>
      <w:r>
        <w:fldChar w:fldCharType="end"/>
      </w:r>
      <w:r>
        <w:t>. This is important for securing smooth frequency properties when extrapolating/interpolation using 60 GHz.</w:t>
      </w:r>
    </w:p>
    <w:p w:rsidR="00CC1489" w:rsidRDefault="00CC1489" w:rsidP="001C4859">
      <w:pPr>
        <w:pStyle w:val="BodyText"/>
      </w:pPr>
      <w:r>
        <w:t xml:space="preserve">It is also demonstrated in </w:t>
      </w:r>
      <w:r>
        <w:fldChar w:fldCharType="begin"/>
      </w:r>
      <w:r>
        <w:instrText xml:space="preserve"> REF _Ref450935028 \r </w:instrText>
      </w:r>
      <w:r>
        <w:fldChar w:fldCharType="separate"/>
      </w:r>
      <w:r w:rsidR="0019051E">
        <w:t>[1]</w:t>
      </w:r>
      <w:r>
        <w:fldChar w:fldCharType="end"/>
      </w:r>
      <w:r>
        <w:t xml:space="preserve"> </w:t>
      </w:r>
      <w:r w:rsidR="00513735">
        <w:t xml:space="preserve">and in </w:t>
      </w:r>
      <w:r w:rsidR="00513735">
        <w:fldChar w:fldCharType="begin"/>
      </w:r>
      <w:r w:rsidR="00513735">
        <w:instrText xml:space="preserve"> REF _Ref450939532 \r </w:instrText>
      </w:r>
      <w:r w:rsidR="00513735">
        <w:fldChar w:fldCharType="separate"/>
      </w:r>
      <w:r w:rsidR="0019051E">
        <w:t>[2]</w:t>
      </w:r>
      <w:r w:rsidR="00513735">
        <w:fldChar w:fldCharType="end"/>
      </w:r>
      <w:r w:rsidR="00513735">
        <w:t xml:space="preserve"> </w:t>
      </w:r>
      <w:r>
        <w:t xml:space="preserve">that just changing a single parameter such as the bandwidth </w:t>
      </w:r>
      <w:r w:rsidR="00513735">
        <w:t xml:space="preserve">or noise floor </w:t>
      </w:r>
      <w:r>
        <w:t>can introduce strong bias into the results and make the data for different frequency bands incomparable.</w:t>
      </w:r>
    </w:p>
    <w:p w:rsidR="00CC1489" w:rsidRPr="00CC1489" w:rsidRDefault="00CC1489" w:rsidP="001C4859">
      <w:pPr>
        <w:pStyle w:val="BodyText"/>
        <w:rPr>
          <w:b/>
        </w:rPr>
      </w:pPr>
      <w:r w:rsidRPr="00CC1489">
        <w:rPr>
          <w:b/>
        </w:rPr>
        <w:t>Observation</w:t>
      </w:r>
      <w:r w:rsidR="003C4C18">
        <w:rPr>
          <w:b/>
        </w:rPr>
        <w:t xml:space="preserve"> 1</w:t>
      </w:r>
      <w:r w:rsidRPr="00CC1489">
        <w:rPr>
          <w:b/>
        </w:rPr>
        <w:t>: Comparability between measurements at different frequency bands can easily be lost unless particular care is taken to ensure that all measurement and post</w:t>
      </w:r>
      <w:r w:rsidR="00FE37CA">
        <w:rPr>
          <w:b/>
        </w:rPr>
        <w:t>-</w:t>
      </w:r>
      <w:r w:rsidRPr="00CC1489">
        <w:rPr>
          <w:b/>
        </w:rPr>
        <w:t>processing steps are identical</w:t>
      </w:r>
    </w:p>
    <w:p w:rsidR="00582543" w:rsidRDefault="00AE0917" w:rsidP="00582543">
      <w:pPr>
        <w:pStyle w:val="Heading1"/>
      </w:pPr>
      <w:r>
        <w:t>Measurements of frequency-dependent LSPs</w:t>
      </w:r>
    </w:p>
    <w:p w:rsidR="00CC1489" w:rsidRDefault="00CC1489" w:rsidP="00AE0917">
      <w:pPr>
        <w:pStyle w:val="BodyText"/>
      </w:pPr>
      <w:r>
        <w:t>A number of measurements of frequency-dependent trends have been reported in 3GPP contributions and in the literature. Here we take a closer look at these with the comparability considerations in the previous section in mind.</w:t>
      </w:r>
    </w:p>
    <w:p w:rsidR="00CC1489" w:rsidRDefault="00FE37CA" w:rsidP="00CC1489">
      <w:pPr>
        <w:pStyle w:val="Heading2"/>
      </w:pPr>
      <w:r>
        <w:t xml:space="preserve">The </w:t>
      </w:r>
      <w:proofErr w:type="spellStart"/>
      <w:r w:rsidR="00CC1489">
        <w:t>mmMAGIC</w:t>
      </w:r>
      <w:proofErr w:type="spellEnd"/>
      <w:r>
        <w:t xml:space="preserve"> project</w:t>
      </w:r>
      <w:r w:rsidR="00C96F35">
        <w:t xml:space="preserve"> </w:t>
      </w:r>
      <w:r w:rsidR="00C96F35">
        <w:fldChar w:fldCharType="begin"/>
      </w:r>
      <w:r w:rsidR="00C96F35">
        <w:instrText xml:space="preserve"> REF _Ref450935941 \r </w:instrText>
      </w:r>
      <w:r w:rsidR="00C96F35">
        <w:fldChar w:fldCharType="separate"/>
      </w:r>
      <w:r w:rsidR="0019051E">
        <w:t>[4]</w:t>
      </w:r>
      <w:r w:rsidR="00C96F35">
        <w:fldChar w:fldCharType="end"/>
      </w:r>
    </w:p>
    <w:p w:rsidR="00C96F35" w:rsidRDefault="0019051E" w:rsidP="00AE0917">
      <w:pPr>
        <w:pStyle w:val="BodyText"/>
      </w:pPr>
      <w:r>
        <w:t xml:space="preserve">In its deliverable on measurements and initial channel models for the 6-86 GHz range </w:t>
      </w:r>
      <w:r>
        <w:fldChar w:fldCharType="begin"/>
      </w:r>
      <w:r>
        <w:instrText xml:space="preserve"> REF _Ref450935941 \r </w:instrText>
      </w:r>
      <w:r>
        <w:fldChar w:fldCharType="separate"/>
      </w:r>
      <w:r>
        <w:t>[4]</w:t>
      </w:r>
      <w:r>
        <w:fldChar w:fldCharType="end"/>
      </w:r>
      <w:r>
        <w:t xml:space="preserve">, the </w:t>
      </w:r>
      <w:proofErr w:type="spellStart"/>
      <w:r>
        <w:t>mmMagic</w:t>
      </w:r>
      <w:proofErr w:type="spellEnd"/>
      <w:r>
        <w:t xml:space="preserve"> project </w:t>
      </w:r>
      <w:r w:rsidR="00C96F35">
        <w:t>acknowledges the difficulties in making comparisons between different frequency bands and does not give a definite answer on whether the LSPs are frequency-dependent or not. Some quotes:</w:t>
      </w:r>
    </w:p>
    <w:p w:rsidR="00C96F35" w:rsidRDefault="00C96F35" w:rsidP="00AE0917">
      <w:pPr>
        <w:pStyle w:val="BodyText"/>
        <w:rPr>
          <w:i/>
        </w:rPr>
      </w:pPr>
      <w:r w:rsidRPr="00C96F35">
        <w:rPr>
          <w:i/>
        </w:rPr>
        <w:t>“</w:t>
      </w:r>
      <w:r w:rsidR="00965EF5" w:rsidRPr="00965EF5">
        <w:rPr>
          <w:i/>
        </w:rPr>
        <w:t xml:space="preserve">Regarding the frequency dependency of measured channel characteristics the results found in literature </w:t>
      </w:r>
      <w:proofErr w:type="gramStart"/>
      <w:r w:rsidR="00965EF5" w:rsidRPr="00965EF5">
        <w:rPr>
          <w:i/>
        </w:rPr>
        <w:t>are</w:t>
      </w:r>
      <w:proofErr w:type="gramEnd"/>
      <w:r w:rsidR="00965EF5" w:rsidRPr="00965EF5">
        <w:rPr>
          <w:i/>
        </w:rPr>
        <w:t xml:space="preserve"> divergent.</w:t>
      </w:r>
      <w:r w:rsidRPr="00C96F35">
        <w:rPr>
          <w:i/>
        </w:rPr>
        <w:t>”</w:t>
      </w:r>
    </w:p>
    <w:p w:rsidR="00AE0917" w:rsidRPr="00C96F35" w:rsidRDefault="00C96F35" w:rsidP="00AE0917">
      <w:pPr>
        <w:pStyle w:val="BodyText"/>
        <w:rPr>
          <w:i/>
        </w:rPr>
      </w:pPr>
      <w:r w:rsidRPr="00C96F35">
        <w:rPr>
          <w:i/>
        </w:rPr>
        <w:t>“</w:t>
      </w:r>
      <w:r w:rsidR="00965EF5" w:rsidRPr="00965EF5">
        <w:rPr>
          <w:i/>
        </w:rPr>
        <w:t>At the current point in time, the question to what extent different channel model characteristics scale with frequency cannot be definitively answered</w:t>
      </w:r>
      <w:r w:rsidRPr="00C96F35">
        <w:rPr>
          <w:i/>
        </w:rPr>
        <w:t>”</w:t>
      </w:r>
    </w:p>
    <w:p w:rsidR="00C96F35" w:rsidRDefault="00A25898" w:rsidP="00A25898">
      <w:pPr>
        <w:pStyle w:val="Heading2"/>
      </w:pPr>
      <w:r>
        <w:lastRenderedPageBreak/>
        <w:t>White paper “</w:t>
      </w:r>
      <w:r w:rsidRPr="00A25898">
        <w:t>5G Channel Model for bands up to 100 GHz</w:t>
      </w:r>
      <w:r>
        <w:t xml:space="preserve">” </w:t>
      </w:r>
      <w:r>
        <w:fldChar w:fldCharType="begin"/>
      </w:r>
      <w:r>
        <w:instrText xml:space="preserve"> REF _Ref446679181 \r </w:instrText>
      </w:r>
      <w:r>
        <w:fldChar w:fldCharType="separate"/>
      </w:r>
      <w:r w:rsidR="0019051E">
        <w:t>[5]</w:t>
      </w:r>
      <w:r>
        <w:fldChar w:fldCharType="end"/>
      </w:r>
    </w:p>
    <w:p w:rsidR="00A25898" w:rsidRDefault="00A25898" w:rsidP="00A25898">
      <w:pPr>
        <w:pStyle w:val="BodyText"/>
      </w:pPr>
      <w:r>
        <w:t xml:space="preserve">This white paper </w:t>
      </w:r>
      <w:r w:rsidR="0019051E">
        <w:t xml:space="preserve">compiled by a number of companies and universities </w:t>
      </w:r>
      <w:r>
        <w:t xml:space="preserve">reports on a number of measurements of various LSPs at different frequency bands. From curve fitting to scatter plots of e.g. delay spread vs frequency from measurements and ray-tracing, trends of reducing delay and angular spreads are found. </w:t>
      </w:r>
      <w:r w:rsidR="007E1155">
        <w:t xml:space="preserve">These trends have been used in contributions that have been agreed or taken as working assumptions in 3GPP, such as </w:t>
      </w:r>
      <w:r w:rsidR="00443918">
        <w:fldChar w:fldCharType="begin"/>
      </w:r>
      <w:r w:rsidR="00443918">
        <w:instrText xml:space="preserve"> REF _Ref450951777 \r </w:instrText>
      </w:r>
      <w:r w:rsidR="00443918">
        <w:fldChar w:fldCharType="separate"/>
      </w:r>
      <w:r w:rsidR="00443918">
        <w:t>[21]</w:t>
      </w:r>
      <w:r w:rsidR="00443918">
        <w:fldChar w:fldCharType="end"/>
      </w:r>
      <w:r w:rsidR="00443918">
        <w:fldChar w:fldCharType="begin"/>
      </w:r>
      <w:r w:rsidR="00443918">
        <w:instrText xml:space="preserve"> REF _Ref450951780 \r </w:instrText>
      </w:r>
      <w:r w:rsidR="00443918">
        <w:fldChar w:fldCharType="separate"/>
      </w:r>
      <w:r w:rsidR="00443918">
        <w:t>[22]</w:t>
      </w:r>
      <w:r w:rsidR="00443918">
        <w:fldChar w:fldCharType="end"/>
      </w:r>
      <w:r w:rsidR="00443918">
        <w:fldChar w:fldCharType="begin"/>
      </w:r>
      <w:r w:rsidR="00443918">
        <w:instrText xml:space="preserve"> REF _Ref450951782 \r </w:instrText>
      </w:r>
      <w:r w:rsidR="00443918">
        <w:fldChar w:fldCharType="separate"/>
      </w:r>
      <w:r w:rsidR="00443918">
        <w:t>[23]</w:t>
      </w:r>
      <w:r w:rsidR="00443918">
        <w:fldChar w:fldCharType="end"/>
      </w:r>
      <w:r w:rsidR="00443918">
        <w:t xml:space="preserve"> </w:t>
      </w:r>
      <w:r>
        <w:t xml:space="preserve">However, this curve-fitting is done without consideration of whether the measurement data is comparable over the different frequency ranges. Details of the measurement campaigns that would allow </w:t>
      </w:r>
      <w:r w:rsidR="007E1155">
        <w:t xml:space="preserve">establishing of whether all measurements fulfill all the requirements outlined in section </w:t>
      </w:r>
      <w:r w:rsidR="007E1155">
        <w:fldChar w:fldCharType="begin"/>
      </w:r>
      <w:r w:rsidR="007E1155">
        <w:instrText xml:space="preserve"> REF _Ref450937502 \r </w:instrText>
      </w:r>
      <w:r w:rsidR="007E1155">
        <w:fldChar w:fldCharType="separate"/>
      </w:r>
      <w:r w:rsidR="0019051E">
        <w:t>2</w:t>
      </w:r>
      <w:r w:rsidR="007E1155">
        <w:fldChar w:fldCharType="end"/>
      </w:r>
      <w:r w:rsidR="007E1155">
        <w:t xml:space="preserve"> are missing in the main body of the white paper. The Annex contains descriptions on some but not all of the measurement campaigns. From these descriptions it is evident that measurements have been done in such diverse conditions and with such diverse equipment that the use of all data simultaneously would break all seven guidelines given in the previous section. </w:t>
      </w:r>
    </w:p>
    <w:p w:rsidR="007E1155" w:rsidRDefault="007E1155" w:rsidP="00A25898">
      <w:pPr>
        <w:pStyle w:val="BodyText"/>
      </w:pPr>
      <w:r>
        <w:t xml:space="preserve">Nevertheless, some measurements have been performed using similar locations or equipment. </w:t>
      </w:r>
      <w:r w:rsidR="00812575">
        <w:t xml:space="preserve">In </w:t>
      </w:r>
      <w:r w:rsidR="00812575">
        <w:fldChar w:fldCharType="begin"/>
      </w:r>
      <w:r w:rsidR="00812575">
        <w:instrText xml:space="preserve"> REF _Ref450938326 \r </w:instrText>
      </w:r>
      <w:r w:rsidR="00812575">
        <w:fldChar w:fldCharType="separate"/>
      </w:r>
      <w:r w:rsidR="0019051E">
        <w:t>[6]</w:t>
      </w:r>
      <w:r w:rsidR="00812575">
        <w:fldChar w:fldCharType="end"/>
      </w:r>
      <w:r>
        <w:t xml:space="preserve"> the optimistic assumption </w:t>
      </w:r>
      <w:r w:rsidR="00812575">
        <w:t xml:space="preserve">is made </w:t>
      </w:r>
      <w:r>
        <w:t>that all data collected by a given company or university is completely comparable over different frequency bands</w:t>
      </w:r>
      <w:r w:rsidR="00812575">
        <w:t xml:space="preserve">. By isolating these measurements, which represent a subset of the full data set where the comparability is expected to be better, the trends can be more clearly studied. The analysis in </w:t>
      </w:r>
      <w:r w:rsidR="00812575">
        <w:fldChar w:fldCharType="begin"/>
      </w:r>
      <w:r w:rsidR="00812575">
        <w:instrText xml:space="preserve"> REF _Ref450938326 \r </w:instrText>
      </w:r>
      <w:r w:rsidR="00812575">
        <w:fldChar w:fldCharType="separate"/>
      </w:r>
      <w:r w:rsidR="0019051E">
        <w:t>[6]</w:t>
      </w:r>
      <w:r w:rsidR="00812575">
        <w:fldChar w:fldCharType="end"/>
      </w:r>
      <w:r w:rsidR="00812575">
        <w:t xml:space="preserve"> shows that there are as many measurements of delay spread increasing with frequency as there are of delay spread decreasing with frequency. </w:t>
      </w:r>
    </w:p>
    <w:p w:rsidR="007E1155" w:rsidRPr="007E1155" w:rsidRDefault="007E1155" w:rsidP="00A25898">
      <w:pPr>
        <w:pStyle w:val="BodyText"/>
        <w:rPr>
          <w:b/>
        </w:rPr>
      </w:pPr>
      <w:r w:rsidRPr="007E1155">
        <w:rPr>
          <w:b/>
        </w:rPr>
        <w:t>Observation</w:t>
      </w:r>
      <w:r w:rsidR="003C4C18">
        <w:rPr>
          <w:b/>
        </w:rPr>
        <w:t xml:space="preserve"> 2</w:t>
      </w:r>
      <w:r w:rsidRPr="007E1155">
        <w:rPr>
          <w:b/>
        </w:rPr>
        <w:t xml:space="preserve">: Even with a very benign assumption on the comparability of the measurements in the white paper </w:t>
      </w:r>
      <w:r w:rsidR="00812575">
        <w:rPr>
          <w:b/>
        </w:rPr>
        <w:fldChar w:fldCharType="begin"/>
      </w:r>
      <w:r w:rsidR="00812575">
        <w:rPr>
          <w:b/>
        </w:rPr>
        <w:instrText xml:space="preserve"> REF _Ref446679181 \r </w:instrText>
      </w:r>
      <w:r w:rsidR="00812575">
        <w:rPr>
          <w:b/>
        </w:rPr>
        <w:fldChar w:fldCharType="separate"/>
      </w:r>
      <w:r w:rsidR="0019051E">
        <w:rPr>
          <w:b/>
        </w:rPr>
        <w:t>[5]</w:t>
      </w:r>
      <w:r w:rsidR="00812575">
        <w:rPr>
          <w:b/>
        </w:rPr>
        <w:fldChar w:fldCharType="end"/>
      </w:r>
      <w:r w:rsidR="00812575">
        <w:rPr>
          <w:b/>
        </w:rPr>
        <w:t xml:space="preserve"> </w:t>
      </w:r>
      <w:r w:rsidRPr="007E1155">
        <w:rPr>
          <w:b/>
        </w:rPr>
        <w:t>there are still no conclusive trends on frequency-dependence of LSPs</w:t>
      </w:r>
    </w:p>
    <w:p w:rsidR="007E1155" w:rsidRDefault="00812575" w:rsidP="00A25898">
      <w:pPr>
        <w:pStyle w:val="BodyText"/>
      </w:pPr>
      <w:r>
        <w:t xml:space="preserve">Some of the measurements sets in this white paper have subsequently been described in more detail in 3GPP contributions. </w:t>
      </w:r>
      <w:r w:rsidR="00C078C2">
        <w:t xml:space="preserve">Furthermore, </w:t>
      </w:r>
      <w:r w:rsidR="00065FB2">
        <w:t>other measur</w:t>
      </w:r>
      <w:r w:rsidR="005535D0">
        <w:t>e</w:t>
      </w:r>
      <w:r w:rsidR="00065FB2">
        <w:t xml:space="preserve">ments </w:t>
      </w:r>
      <w:r w:rsidR="00C078C2">
        <w:t>have been submitted to 3GPP or are available in the open literature. Some of t</w:t>
      </w:r>
      <w:r>
        <w:t>hese will be further analyzed in the below subsections</w:t>
      </w:r>
      <w:r w:rsidR="00065FB2">
        <w:t>.</w:t>
      </w:r>
    </w:p>
    <w:p w:rsidR="00812575" w:rsidRPr="00A25898" w:rsidRDefault="00065FB2" w:rsidP="00812575">
      <w:pPr>
        <w:pStyle w:val="Heading2"/>
      </w:pPr>
      <w:proofErr w:type="spellStart"/>
      <w:r>
        <w:t>UMi</w:t>
      </w:r>
      <w:proofErr w:type="spellEnd"/>
      <w:r>
        <w:t xml:space="preserve">, O2I and </w:t>
      </w:r>
      <w:proofErr w:type="spellStart"/>
      <w:r>
        <w:t>InH</w:t>
      </w:r>
      <w:proofErr w:type="spellEnd"/>
      <w:r>
        <w:t xml:space="preserve"> m</w:t>
      </w:r>
      <w:r w:rsidR="00812575">
        <w:t xml:space="preserve">easurements by Ericsson </w:t>
      </w:r>
      <w:r w:rsidR="007130FD">
        <w:fldChar w:fldCharType="begin"/>
      </w:r>
      <w:r w:rsidR="007130FD">
        <w:instrText xml:space="preserve"> REF _Ref450939211 \r </w:instrText>
      </w:r>
      <w:r w:rsidR="007130FD">
        <w:fldChar w:fldCharType="separate"/>
      </w:r>
      <w:r w:rsidR="0019051E">
        <w:t>[7</w:t>
      </w:r>
      <w:proofErr w:type="gramStart"/>
      <w:r w:rsidR="0019051E">
        <w:t>]</w:t>
      </w:r>
      <w:proofErr w:type="gramEnd"/>
      <w:r w:rsidR="007130FD">
        <w:fldChar w:fldCharType="end"/>
      </w:r>
      <w:r w:rsidR="00513735">
        <w:fldChar w:fldCharType="begin"/>
      </w:r>
      <w:r w:rsidR="00513735">
        <w:instrText xml:space="preserve"> REF _Ref450939353 \r </w:instrText>
      </w:r>
      <w:r w:rsidR="00513735">
        <w:fldChar w:fldCharType="separate"/>
      </w:r>
      <w:r w:rsidR="0019051E">
        <w:t>[8]</w:t>
      </w:r>
      <w:r w:rsidR="00513735">
        <w:fldChar w:fldCharType="end"/>
      </w:r>
      <w:r w:rsidR="00513735">
        <w:fldChar w:fldCharType="begin"/>
      </w:r>
      <w:r w:rsidR="00513735">
        <w:instrText xml:space="preserve"> REF _Ref450939675 \r </w:instrText>
      </w:r>
      <w:r w:rsidR="00513735">
        <w:fldChar w:fldCharType="separate"/>
      </w:r>
      <w:r w:rsidR="0019051E">
        <w:t>[9]</w:t>
      </w:r>
      <w:r w:rsidR="00513735">
        <w:fldChar w:fldCharType="end"/>
      </w:r>
      <w:r w:rsidR="00630AA8">
        <w:fldChar w:fldCharType="begin"/>
      </w:r>
      <w:r w:rsidR="00630AA8">
        <w:instrText xml:space="preserve"> REF _Ref450940382 \r </w:instrText>
      </w:r>
      <w:r w:rsidR="00630AA8">
        <w:fldChar w:fldCharType="separate"/>
      </w:r>
      <w:r w:rsidR="0019051E">
        <w:t>[10]</w:t>
      </w:r>
      <w:r w:rsidR="00630AA8">
        <w:fldChar w:fldCharType="end"/>
      </w:r>
    </w:p>
    <w:p w:rsidR="00812575" w:rsidRDefault="007130FD" w:rsidP="00AE0917">
      <w:pPr>
        <w:pStyle w:val="BodyText"/>
      </w:pPr>
      <w:r>
        <w:t xml:space="preserve">These four measurement campaigns have all been done with considerable attention to the guidelines in section </w:t>
      </w:r>
      <w:r>
        <w:fldChar w:fldCharType="begin"/>
      </w:r>
      <w:r>
        <w:instrText xml:space="preserve"> REF _Ref450937502 \r </w:instrText>
      </w:r>
      <w:r>
        <w:fldChar w:fldCharType="separate"/>
      </w:r>
      <w:r w:rsidR="0019051E">
        <w:t>2</w:t>
      </w:r>
      <w:r>
        <w:fldChar w:fldCharType="end"/>
      </w:r>
      <w:r>
        <w:t xml:space="preserve">. The indoor cubic array </w:t>
      </w:r>
      <w:proofErr w:type="gramStart"/>
      <w:r>
        <w:t xml:space="preserve">measurements in </w:t>
      </w:r>
      <w:r>
        <w:fldChar w:fldCharType="begin"/>
      </w:r>
      <w:r>
        <w:instrText xml:space="preserve"> REF _Ref450939211 \r </w:instrText>
      </w:r>
      <w:r>
        <w:fldChar w:fldCharType="separate"/>
      </w:r>
      <w:r w:rsidR="0019051E">
        <w:t>[7]</w:t>
      </w:r>
      <w:r>
        <w:fldChar w:fldCharType="end"/>
      </w:r>
      <w:r>
        <w:t xml:space="preserve"> fulfills</w:t>
      </w:r>
      <w:proofErr w:type="gramEnd"/>
      <w:r>
        <w:t xml:space="preserve"> all seven recommendations except for a slight offset of the locations of the antennas. The indoor delay spread measurements in </w:t>
      </w:r>
      <w:r w:rsidR="00513735">
        <w:fldChar w:fldCharType="begin"/>
      </w:r>
      <w:r w:rsidR="00513735">
        <w:instrText xml:space="preserve"> REF _Ref450939675 \r </w:instrText>
      </w:r>
      <w:r w:rsidR="00513735">
        <w:fldChar w:fldCharType="separate"/>
      </w:r>
      <w:r w:rsidR="0019051E">
        <w:t>[9]</w:t>
      </w:r>
      <w:r w:rsidR="00513735">
        <w:fldChar w:fldCharType="end"/>
      </w:r>
      <w:r>
        <w:t xml:space="preserve"> fulfills all seven recommendations. The microcell measurements </w:t>
      </w:r>
      <w:r w:rsidR="00513735">
        <w:fldChar w:fldCharType="begin"/>
      </w:r>
      <w:r w:rsidR="00513735">
        <w:instrText xml:space="preserve"> REF _Ref450939353 \r </w:instrText>
      </w:r>
      <w:r w:rsidR="00513735">
        <w:fldChar w:fldCharType="separate"/>
      </w:r>
      <w:r w:rsidR="0019051E">
        <w:t>[8]</w:t>
      </w:r>
      <w:r w:rsidR="00513735">
        <w:fldChar w:fldCharType="end"/>
      </w:r>
      <w:r w:rsidR="00513735">
        <w:t xml:space="preserve"> </w:t>
      </w:r>
      <w:r>
        <w:t xml:space="preserve">suffer from a bit less comparability due to </w:t>
      </w:r>
      <w:r w:rsidR="00513735">
        <w:t>differences</w:t>
      </w:r>
      <w:r>
        <w:t xml:space="preserve"> in the locations of the antennas and some movement of people and cars during the measurements. Finally, the outdoor to indoor measurements in </w:t>
      </w:r>
      <w:r w:rsidR="00630AA8">
        <w:fldChar w:fldCharType="begin"/>
      </w:r>
      <w:r w:rsidR="00630AA8">
        <w:instrText xml:space="preserve"> REF _Ref450940382 \r </w:instrText>
      </w:r>
      <w:r w:rsidR="00630AA8">
        <w:fldChar w:fldCharType="separate"/>
      </w:r>
      <w:r w:rsidR="0019051E">
        <w:t>[10]</w:t>
      </w:r>
      <w:r w:rsidR="00630AA8">
        <w:fldChar w:fldCharType="end"/>
      </w:r>
      <w:r>
        <w:t xml:space="preserve"> fulfills all seven recommendations. </w:t>
      </w:r>
    </w:p>
    <w:p w:rsidR="007130FD" w:rsidRDefault="007130FD" w:rsidP="00AE0917">
      <w:pPr>
        <w:pStyle w:val="BodyText"/>
      </w:pPr>
      <w:r>
        <w:t>The coherent message from all these indoor, outdoor to indoor, and microcell measurements is that the LSPs have no obvious decreasing trend with increasing frequency. There are some variations as a function of frequency but this can go both upwards and downwards</w:t>
      </w:r>
      <w:r w:rsidR="00AF76E8">
        <w:t xml:space="preserve"> non-monotonically</w:t>
      </w:r>
      <w:r>
        <w:t>.</w:t>
      </w:r>
    </w:p>
    <w:p w:rsidR="007130FD" w:rsidRDefault="007130FD" w:rsidP="007130FD">
      <w:pPr>
        <w:pStyle w:val="Heading2"/>
      </w:pPr>
      <w:r>
        <w:t>Airport measurements by Aalto university</w:t>
      </w:r>
      <w:r w:rsidR="00630AA8">
        <w:t xml:space="preserve"> (</w:t>
      </w:r>
      <w:r w:rsidR="00630AA8">
        <w:fldChar w:fldCharType="begin"/>
      </w:r>
      <w:r w:rsidR="00630AA8">
        <w:instrText xml:space="preserve"> REF _Ref450940614 \r </w:instrText>
      </w:r>
      <w:r w:rsidR="00630AA8">
        <w:fldChar w:fldCharType="separate"/>
      </w:r>
      <w:r w:rsidR="0019051E">
        <w:t>[11]</w:t>
      </w:r>
      <w:r w:rsidR="00630AA8">
        <w:fldChar w:fldCharType="end"/>
      </w:r>
      <w:r w:rsidR="00630AA8">
        <w:t xml:space="preserve">, referenced in </w:t>
      </w:r>
      <w:r w:rsidR="00C078C2">
        <w:fldChar w:fldCharType="begin"/>
      </w:r>
      <w:r w:rsidR="00C078C2">
        <w:instrText xml:space="preserve"> REF _Ref450940624 \r </w:instrText>
      </w:r>
      <w:r w:rsidR="00C078C2">
        <w:fldChar w:fldCharType="separate"/>
      </w:r>
      <w:r w:rsidR="0019051E">
        <w:t>[12]</w:t>
      </w:r>
      <w:r w:rsidR="00C078C2">
        <w:fldChar w:fldCharType="end"/>
      </w:r>
      <w:r w:rsidR="00630AA8">
        <w:t>)</w:t>
      </w:r>
    </w:p>
    <w:p w:rsidR="00C078C2" w:rsidRDefault="00C078C2" w:rsidP="00AE0917">
      <w:pPr>
        <w:pStyle w:val="BodyText"/>
      </w:pPr>
      <w:r>
        <w:t xml:space="preserve">These measurements have been performed with a high degree of comparability between the frequency bands. As shown in </w:t>
      </w:r>
      <w:r>
        <w:fldChar w:fldCharType="begin"/>
      </w:r>
      <w:r>
        <w:instrText xml:space="preserve"> REF _Ref450940624 \r </w:instrText>
      </w:r>
      <w:r>
        <w:fldChar w:fldCharType="separate"/>
      </w:r>
      <w:r w:rsidR="0019051E">
        <w:t>[12]</w:t>
      </w:r>
      <w:r>
        <w:fldChar w:fldCharType="end"/>
      </w:r>
      <w:r>
        <w:t xml:space="preserve">, these measurements show almost flat trends of delay spread, azimuth spread, and elevation spread over the range 15-60 GHz. </w:t>
      </w:r>
    </w:p>
    <w:p w:rsidR="00C078C2" w:rsidRDefault="00065FB2" w:rsidP="00065FB2">
      <w:pPr>
        <w:pStyle w:val="Heading2"/>
      </w:pPr>
      <w:r>
        <w:t xml:space="preserve">Indoor measurements by University of Wales </w:t>
      </w:r>
      <w:r w:rsidR="00FE3981">
        <w:fldChar w:fldCharType="begin"/>
      </w:r>
      <w:r w:rsidR="00FE3981">
        <w:instrText xml:space="preserve"> REF _Ref450941928 \r </w:instrText>
      </w:r>
      <w:r w:rsidR="00FE3981">
        <w:fldChar w:fldCharType="separate"/>
      </w:r>
      <w:r w:rsidR="0019051E">
        <w:t>[13]</w:t>
      </w:r>
      <w:r w:rsidR="00FE3981">
        <w:fldChar w:fldCharType="end"/>
      </w:r>
    </w:p>
    <w:p w:rsidR="00065FB2" w:rsidRDefault="00A0212A" w:rsidP="00AE0917">
      <w:pPr>
        <w:pStyle w:val="BodyText"/>
      </w:pPr>
      <w:r>
        <w:t xml:space="preserve">These measurements performed at 2, 5, and 17 GHz indicate a trend of delay spread reducing with increasing frequency. However, the description does not clarify if any of the comparability requirements outlined above are met in these measurements. </w:t>
      </w:r>
    </w:p>
    <w:p w:rsidR="00A0212A" w:rsidRDefault="00A0212A" w:rsidP="00A0212A">
      <w:pPr>
        <w:pStyle w:val="Heading2"/>
      </w:pPr>
      <w:r>
        <w:t xml:space="preserve">Indoor measurements by </w:t>
      </w:r>
      <w:proofErr w:type="spellStart"/>
      <w:r>
        <w:t>Elektrobit</w:t>
      </w:r>
      <w:proofErr w:type="spellEnd"/>
      <w:r>
        <w:t xml:space="preserve"> et al. </w:t>
      </w:r>
      <w:r>
        <w:fldChar w:fldCharType="begin"/>
      </w:r>
      <w:r>
        <w:instrText xml:space="preserve"> REF _Ref450942473 \r </w:instrText>
      </w:r>
      <w:r>
        <w:fldChar w:fldCharType="separate"/>
      </w:r>
      <w:r w:rsidR="0019051E">
        <w:t>[14]</w:t>
      </w:r>
      <w:r>
        <w:fldChar w:fldCharType="end"/>
      </w:r>
    </w:p>
    <w:p w:rsidR="00CE3491" w:rsidRDefault="00CE3491" w:rsidP="00A0212A">
      <w:pPr>
        <w:pStyle w:val="BodyText"/>
      </w:pPr>
      <w:r>
        <w:t>These ultra-wideband measurements produced highly comparable measurement data at different frequency bands in the 1-10 GHz range by filtering out different sub-bands from the same measurements. Most or all of the requirements outlined above are fulfilled. As stated in the paper:</w:t>
      </w:r>
    </w:p>
    <w:p w:rsidR="00A0212A" w:rsidRPr="00CE3491" w:rsidRDefault="00CE3491" w:rsidP="00A0212A">
      <w:pPr>
        <w:pStyle w:val="BodyText"/>
        <w:rPr>
          <w:i/>
        </w:rPr>
      </w:pPr>
      <w:r w:rsidRPr="00CE3491">
        <w:rPr>
          <w:i/>
        </w:rPr>
        <w:t>“There is no clear trend of the delay spre</w:t>
      </w:r>
      <w:r>
        <w:rPr>
          <w:i/>
        </w:rPr>
        <w:t>ad versus frequency. The result</w:t>
      </w:r>
      <w:r w:rsidRPr="00CE3491">
        <w:rPr>
          <w:i/>
        </w:rPr>
        <w:t xml:space="preserve"> in Figure 10 confirms that the delay spread is almost frequency independent, or exhibits only a slight dependency.”</w:t>
      </w:r>
    </w:p>
    <w:p w:rsidR="00CE3491" w:rsidRDefault="00A02ACE" w:rsidP="00A02ACE">
      <w:pPr>
        <w:pStyle w:val="Heading2"/>
      </w:pPr>
      <w:proofErr w:type="spellStart"/>
      <w:r>
        <w:t>UMi</w:t>
      </w:r>
      <w:proofErr w:type="spellEnd"/>
      <w:r>
        <w:t xml:space="preserve"> measurements by </w:t>
      </w:r>
      <w:proofErr w:type="spellStart"/>
      <w:r>
        <w:t>Frauenhofer</w:t>
      </w:r>
      <w:proofErr w:type="spellEnd"/>
      <w:r>
        <w:t xml:space="preserve"> HHI </w:t>
      </w:r>
      <w:r>
        <w:fldChar w:fldCharType="begin"/>
      </w:r>
      <w:r>
        <w:instrText xml:space="preserve"> REF _Ref450943517 \r </w:instrText>
      </w:r>
      <w:r>
        <w:fldChar w:fldCharType="separate"/>
      </w:r>
      <w:r w:rsidR="0019051E">
        <w:t>[15]</w:t>
      </w:r>
      <w:r>
        <w:fldChar w:fldCharType="end"/>
      </w:r>
    </w:p>
    <w:p w:rsidR="00A02ACE" w:rsidRPr="00A02ACE" w:rsidRDefault="00A02ACE" w:rsidP="00A02ACE">
      <w:pPr>
        <w:pStyle w:val="BodyText"/>
      </w:pPr>
      <w:r>
        <w:t>These measurements feature a dual-band 10 and 60 GHz channel sounder with a high degree of similarity of the measurement equipment characteristics between the two bands. In LOS, where the measured impulse re</w:t>
      </w:r>
      <w:r w:rsidR="00AF76E8">
        <w:t>s</w:t>
      </w:r>
      <w:r>
        <w:t xml:space="preserve">ponses appears have a good dynamic range with respect to the noise floor, the </w:t>
      </w:r>
      <w:proofErr w:type="spellStart"/>
      <w:r>
        <w:t>rms</w:t>
      </w:r>
      <w:proofErr w:type="spellEnd"/>
      <w:r>
        <w:t xml:space="preserve"> delay spread varies only by a few percent between the two bands. One of the reasons suggested by the authors is the oxygen absorption which </w:t>
      </w:r>
      <w:r>
        <w:lastRenderedPageBreak/>
        <w:t xml:space="preserve">hasn’t been compensated for at 60 GHz. </w:t>
      </w:r>
      <w:r w:rsidR="00965EF5">
        <w:t xml:space="preserve">The NLOS data </w:t>
      </w:r>
      <w:r w:rsidR="00281DE2">
        <w:t xml:space="preserve">in Fig. 12 </w:t>
      </w:r>
      <w:r w:rsidR="00AF76E8">
        <w:t xml:space="preserve">of </w:t>
      </w:r>
      <w:r w:rsidR="00AF76E8">
        <w:fldChar w:fldCharType="begin"/>
      </w:r>
      <w:r w:rsidR="00AF76E8">
        <w:instrText xml:space="preserve"> REF _Ref450943517 \r </w:instrText>
      </w:r>
      <w:r w:rsidR="00AF76E8">
        <w:fldChar w:fldCharType="separate"/>
      </w:r>
      <w:r w:rsidR="00AF76E8">
        <w:t>[15]</w:t>
      </w:r>
      <w:r w:rsidR="00AF76E8">
        <w:fldChar w:fldCharType="end"/>
      </w:r>
      <w:r w:rsidR="00AF76E8">
        <w:t xml:space="preserve"> </w:t>
      </w:r>
      <w:r w:rsidR="00965EF5">
        <w:t xml:space="preserve">reveals a strong reduction of the delay spread for the higher frequency. However, as acknowledged by the authors, </w:t>
      </w:r>
      <w:r w:rsidR="005535D0">
        <w:t xml:space="preserve">many of the </w:t>
      </w:r>
      <w:r w:rsidR="00965EF5">
        <w:t xml:space="preserve">NLOS data </w:t>
      </w:r>
      <w:r w:rsidR="005535D0">
        <w:t xml:space="preserve">locations are affected by noise to the extent that these are excluded from the analysis. As can be seen in the path loss data, a large fraction of the NLOS measurements at 60 GHz are saturated by noise. It cannot be excluded that this introduces a significant bias since the 10 GHz data may include a much larger fraction of samples at long ranges. It should be noted that the authors </w:t>
      </w:r>
      <w:r w:rsidR="00281DE2">
        <w:t>make no claims as to the frequency-dependence of the delay spread in the NLOS data.</w:t>
      </w:r>
    </w:p>
    <w:p w:rsidR="00C078C2" w:rsidRDefault="00281DE2" w:rsidP="00281DE2">
      <w:pPr>
        <w:pStyle w:val="Heading2"/>
      </w:pPr>
      <w:proofErr w:type="spellStart"/>
      <w:proofErr w:type="gramStart"/>
      <w:r>
        <w:t>InH</w:t>
      </w:r>
      <w:proofErr w:type="spellEnd"/>
      <w:proofErr w:type="gramEnd"/>
      <w:r>
        <w:t xml:space="preserve"> and </w:t>
      </w:r>
      <w:proofErr w:type="spellStart"/>
      <w:r>
        <w:t>UMi</w:t>
      </w:r>
      <w:proofErr w:type="spellEnd"/>
      <w:r>
        <w:t xml:space="preserve"> measurements by Durham University </w:t>
      </w:r>
      <w:r>
        <w:fldChar w:fldCharType="begin"/>
      </w:r>
      <w:r>
        <w:instrText xml:space="preserve"> REF _Ref450945810 \r </w:instrText>
      </w:r>
      <w:r>
        <w:fldChar w:fldCharType="separate"/>
      </w:r>
      <w:r>
        <w:t>[16]</w:t>
      </w:r>
      <w:r>
        <w:fldChar w:fldCharType="end"/>
      </w:r>
    </w:p>
    <w:p w:rsidR="00281DE2" w:rsidRDefault="00AC4DBC" w:rsidP="00281DE2">
      <w:pPr>
        <w:pStyle w:val="BodyText"/>
      </w:pPr>
      <w:r>
        <w:t xml:space="preserve">These measurements are performed with a multi-band channel sounder at the frequencies of 30 GHz and 60 GHz using high gain antennas with narrow </w:t>
      </w:r>
      <w:proofErr w:type="spellStart"/>
      <w:r>
        <w:t>beamwidths</w:t>
      </w:r>
      <w:proofErr w:type="spellEnd"/>
      <w:r>
        <w:t xml:space="preserve">. The measurements have not been conducted with strict comparability in mind, so there are a number of differences in setups and measurement execution. Nevertheless, </w:t>
      </w:r>
      <w:proofErr w:type="spellStart"/>
      <w:r>
        <w:t>rms</w:t>
      </w:r>
      <w:proofErr w:type="spellEnd"/>
      <w:r>
        <w:t xml:space="preserve"> delay spread values are reported for the two frequency bands. The numerical values are roughly twice as large at the higher frequency; however the authors do not attempt to draw any conclusions on the frequency-dependent trends. </w:t>
      </w:r>
    </w:p>
    <w:p w:rsidR="00A5115F" w:rsidRDefault="00A5115F" w:rsidP="00A5115F">
      <w:pPr>
        <w:pStyle w:val="Heading2"/>
      </w:pPr>
      <w:r>
        <w:t xml:space="preserve">Indoor measurements by CATT </w:t>
      </w:r>
      <w:r>
        <w:fldChar w:fldCharType="begin"/>
      </w:r>
      <w:r>
        <w:instrText xml:space="preserve"> REF _Ref450948326 \r </w:instrText>
      </w:r>
      <w:r>
        <w:fldChar w:fldCharType="separate"/>
      </w:r>
      <w:r>
        <w:t>[17]</w:t>
      </w:r>
      <w:r>
        <w:fldChar w:fldCharType="end"/>
      </w:r>
    </w:p>
    <w:p w:rsidR="00A5115F" w:rsidRDefault="00A5115F" w:rsidP="00A5115F">
      <w:pPr>
        <w:pStyle w:val="BodyText"/>
      </w:pPr>
      <w:r>
        <w:t xml:space="preserve">The contribution </w:t>
      </w:r>
      <w:r>
        <w:fldChar w:fldCharType="begin"/>
      </w:r>
      <w:r>
        <w:instrText xml:space="preserve"> REF _Ref450948326 \r </w:instrText>
      </w:r>
      <w:r>
        <w:fldChar w:fldCharType="separate"/>
      </w:r>
      <w:r>
        <w:t>[17]</w:t>
      </w:r>
      <w:r>
        <w:fldChar w:fldCharType="end"/>
      </w:r>
      <w:r>
        <w:t xml:space="preserve"> reports on trends of delay and angular spreads from indoor measurements at 26 and 39 GHz, where the delay and angular spreads are smaller at the higher frequency. No details are given on the measurement setup that would allow an assessment of the comparability of the data at the two bands. </w:t>
      </w:r>
    </w:p>
    <w:p w:rsidR="00A5115F" w:rsidRPr="00A5115F" w:rsidRDefault="000E66ED" w:rsidP="00A5115F">
      <w:pPr>
        <w:pStyle w:val="Heading2"/>
      </w:pPr>
      <w:proofErr w:type="spellStart"/>
      <w:r>
        <w:t>UMi</w:t>
      </w:r>
      <w:proofErr w:type="spellEnd"/>
      <w:r>
        <w:t xml:space="preserve">, </w:t>
      </w:r>
      <w:proofErr w:type="spellStart"/>
      <w:r>
        <w:t>InH</w:t>
      </w:r>
      <w:proofErr w:type="spellEnd"/>
      <w:r>
        <w:t xml:space="preserve"> and shopping mall m</w:t>
      </w:r>
      <w:r w:rsidR="00A5115F">
        <w:t>easurements by Qualcomm</w:t>
      </w:r>
      <w:r w:rsidR="0005440E">
        <w:t xml:space="preserve"> </w:t>
      </w:r>
      <w:r w:rsidR="0005440E">
        <w:fldChar w:fldCharType="begin"/>
      </w:r>
      <w:r w:rsidR="0005440E">
        <w:instrText xml:space="preserve"> REF _Ref450948736 \r </w:instrText>
      </w:r>
      <w:r w:rsidR="0005440E">
        <w:fldChar w:fldCharType="separate"/>
      </w:r>
      <w:r w:rsidR="0005440E">
        <w:t>[18</w:t>
      </w:r>
      <w:proofErr w:type="gramStart"/>
      <w:r w:rsidR="0005440E">
        <w:t>]</w:t>
      </w:r>
      <w:proofErr w:type="gramEnd"/>
      <w:r w:rsidR="0005440E">
        <w:fldChar w:fldCharType="end"/>
      </w:r>
      <w:r w:rsidR="0005440E">
        <w:fldChar w:fldCharType="begin"/>
      </w:r>
      <w:r w:rsidR="0005440E">
        <w:instrText xml:space="preserve"> REF _Ref450948738 \r </w:instrText>
      </w:r>
      <w:r w:rsidR="0005440E">
        <w:fldChar w:fldCharType="separate"/>
      </w:r>
      <w:r w:rsidR="0005440E">
        <w:t>[19]</w:t>
      </w:r>
      <w:r w:rsidR="0005440E">
        <w:fldChar w:fldCharType="end"/>
      </w:r>
      <w:r w:rsidR="0005440E">
        <w:fldChar w:fldCharType="begin"/>
      </w:r>
      <w:r w:rsidR="0005440E">
        <w:instrText xml:space="preserve"> REF _Ref450948739 \r </w:instrText>
      </w:r>
      <w:r w:rsidR="0005440E">
        <w:fldChar w:fldCharType="separate"/>
      </w:r>
      <w:r w:rsidR="0005440E">
        <w:t>[20]</w:t>
      </w:r>
      <w:r w:rsidR="0005440E">
        <w:fldChar w:fldCharType="end"/>
      </w:r>
    </w:p>
    <w:p w:rsidR="00AC33FF" w:rsidRDefault="00AC33FF" w:rsidP="00281DE2">
      <w:pPr>
        <w:pStyle w:val="BodyText"/>
      </w:pPr>
      <w:r>
        <w:t xml:space="preserve">These measurements have been performed with a channel sounder at 2.9, 29, and 60 GHz under conditions and with equipment that suggests a high degree of comparability between the frequency bands. The measurement bandwidth at the different bands is however not provided, nor is information on whether oxygen loss compensation has been applied </w:t>
      </w:r>
      <w:r>
        <w:fldChar w:fldCharType="begin"/>
      </w:r>
      <w:r>
        <w:instrText xml:space="preserve"> REF _Ref447149981 \r </w:instrText>
      </w:r>
      <w:r>
        <w:fldChar w:fldCharType="separate"/>
      </w:r>
      <w:r>
        <w:t>[3]</w:t>
      </w:r>
      <w:r>
        <w:fldChar w:fldCharType="end"/>
      </w:r>
      <w:r>
        <w:t xml:space="preserve">. Thus the comparability cannot be conclusively established. </w:t>
      </w:r>
    </w:p>
    <w:p w:rsidR="00281DE2" w:rsidRDefault="00AC33FF" w:rsidP="00281DE2">
      <w:pPr>
        <w:pStyle w:val="BodyText"/>
      </w:pPr>
      <w:r>
        <w:t xml:space="preserve">In all measurement scenarios except the open square scenario there are clear trends reported of </w:t>
      </w:r>
      <w:proofErr w:type="spellStart"/>
      <w:r>
        <w:t>rms</w:t>
      </w:r>
      <w:proofErr w:type="spellEnd"/>
      <w:r>
        <w:t xml:space="preserve"> delay spread reducing with increasing frequency.</w:t>
      </w:r>
    </w:p>
    <w:p w:rsidR="00AE0917" w:rsidRDefault="00AE0917" w:rsidP="00AE0917">
      <w:pPr>
        <w:pStyle w:val="Heading1"/>
      </w:pPr>
      <w:r>
        <w:t>Discussion</w:t>
      </w:r>
    </w:p>
    <w:p w:rsidR="00AC33FF" w:rsidRDefault="00AC33FF" w:rsidP="00AC33FF">
      <w:pPr>
        <w:pStyle w:val="BodyText"/>
      </w:pPr>
      <w:r>
        <w:t xml:space="preserve">A very clear trend emerges when reviewing all these measurements. Whenever the measurements have been performed and documented in such a way that </w:t>
      </w:r>
      <w:r w:rsidR="00681C63">
        <w:t xml:space="preserve">the comparability between frequency bands can be established, there are weak or no frequency-dependent trends in the measured LSP. But when the measurements do not fulfill the comparability requirements or when too little information on the measurement procedure is available, the frequency-dependent trends appear. </w:t>
      </w:r>
    </w:p>
    <w:p w:rsidR="00AC4DBC" w:rsidRPr="007130FD" w:rsidRDefault="00AC4DBC" w:rsidP="00AC4DBC">
      <w:pPr>
        <w:pStyle w:val="BodyText"/>
        <w:rPr>
          <w:b/>
        </w:rPr>
      </w:pPr>
      <w:r w:rsidRPr="007130FD">
        <w:rPr>
          <w:b/>
        </w:rPr>
        <w:t>Observation</w:t>
      </w:r>
      <w:r w:rsidR="003C4C18">
        <w:rPr>
          <w:b/>
        </w:rPr>
        <w:t xml:space="preserve"> 3</w:t>
      </w:r>
      <w:r w:rsidRPr="007130FD">
        <w:rPr>
          <w:b/>
        </w:rPr>
        <w:t xml:space="preserve">: No obvious </w:t>
      </w:r>
      <w:r>
        <w:rPr>
          <w:b/>
        </w:rPr>
        <w:t xml:space="preserve">or very weak </w:t>
      </w:r>
      <w:r w:rsidRPr="007130FD">
        <w:rPr>
          <w:b/>
        </w:rPr>
        <w:t xml:space="preserve">frequency dependent trends are observed in measurements with a very high degree of comparability between measurements at different frequency bands such as </w:t>
      </w:r>
      <w:r>
        <w:fldChar w:fldCharType="begin"/>
      </w:r>
      <w:r>
        <w:instrText xml:space="preserve"> REF _Ref450939211 \r </w:instrText>
      </w:r>
      <w:r>
        <w:fldChar w:fldCharType="separate"/>
      </w:r>
      <w:r>
        <w:t>[7]</w:t>
      </w:r>
      <w:r>
        <w:fldChar w:fldCharType="end"/>
      </w:r>
      <w:r w:rsidRPr="007130FD">
        <w:rPr>
          <w:b/>
        </w:rPr>
        <w:t xml:space="preserve"> </w:t>
      </w:r>
      <w:r>
        <w:rPr>
          <w:b/>
        </w:rPr>
        <w:fldChar w:fldCharType="begin"/>
      </w:r>
      <w:r>
        <w:rPr>
          <w:b/>
        </w:rPr>
        <w:instrText xml:space="preserve"> REF _Ref450939353 \r </w:instrText>
      </w:r>
      <w:r>
        <w:rPr>
          <w:b/>
        </w:rPr>
        <w:fldChar w:fldCharType="separate"/>
      </w:r>
      <w:r>
        <w:rPr>
          <w:b/>
        </w:rPr>
        <w:t>[8</w:t>
      </w:r>
      <w:proofErr w:type="gramStart"/>
      <w:r>
        <w:rPr>
          <w:b/>
        </w:rPr>
        <w:t>]</w:t>
      </w:r>
      <w:proofErr w:type="gramEnd"/>
      <w:r>
        <w:rPr>
          <w:b/>
        </w:rPr>
        <w:fldChar w:fldCharType="end"/>
      </w:r>
      <w:r>
        <w:rPr>
          <w:b/>
        </w:rPr>
        <w:fldChar w:fldCharType="begin"/>
      </w:r>
      <w:r>
        <w:rPr>
          <w:b/>
        </w:rPr>
        <w:instrText xml:space="preserve"> REF _Ref450939675 \r </w:instrText>
      </w:r>
      <w:r>
        <w:rPr>
          <w:b/>
        </w:rPr>
        <w:fldChar w:fldCharType="separate"/>
      </w:r>
      <w:r>
        <w:rPr>
          <w:b/>
        </w:rPr>
        <w:t>[9]</w:t>
      </w:r>
      <w:r>
        <w:rPr>
          <w:b/>
        </w:rPr>
        <w:fldChar w:fldCharType="end"/>
      </w:r>
      <w:r>
        <w:rPr>
          <w:b/>
        </w:rPr>
        <w:fldChar w:fldCharType="begin"/>
      </w:r>
      <w:r>
        <w:rPr>
          <w:b/>
        </w:rPr>
        <w:instrText xml:space="preserve"> REF _Ref450940382 \r </w:instrText>
      </w:r>
      <w:r>
        <w:rPr>
          <w:b/>
        </w:rPr>
        <w:fldChar w:fldCharType="separate"/>
      </w:r>
      <w:r>
        <w:rPr>
          <w:b/>
        </w:rPr>
        <w:t>[10]</w:t>
      </w:r>
      <w:r>
        <w:rPr>
          <w:b/>
        </w:rPr>
        <w:fldChar w:fldCharType="end"/>
      </w:r>
      <w:r>
        <w:rPr>
          <w:b/>
        </w:rPr>
        <w:fldChar w:fldCharType="begin"/>
      </w:r>
      <w:r>
        <w:rPr>
          <w:b/>
        </w:rPr>
        <w:instrText xml:space="preserve"> REF _Ref450940614 \r </w:instrText>
      </w:r>
      <w:r>
        <w:rPr>
          <w:b/>
        </w:rPr>
        <w:fldChar w:fldCharType="separate"/>
      </w:r>
      <w:r>
        <w:rPr>
          <w:b/>
        </w:rPr>
        <w:t>[11]</w:t>
      </w:r>
      <w:r>
        <w:rPr>
          <w:b/>
        </w:rPr>
        <w:fldChar w:fldCharType="end"/>
      </w:r>
      <w:r>
        <w:rPr>
          <w:b/>
        </w:rPr>
        <w:fldChar w:fldCharType="begin"/>
      </w:r>
      <w:r>
        <w:rPr>
          <w:b/>
        </w:rPr>
        <w:instrText xml:space="preserve"> REF _Ref450942473 \r </w:instrText>
      </w:r>
      <w:r>
        <w:rPr>
          <w:b/>
        </w:rPr>
        <w:fldChar w:fldCharType="separate"/>
      </w:r>
      <w:r>
        <w:rPr>
          <w:b/>
        </w:rPr>
        <w:t>[14]</w:t>
      </w:r>
      <w:r>
        <w:rPr>
          <w:b/>
        </w:rPr>
        <w:fldChar w:fldCharType="end"/>
      </w:r>
      <w:r>
        <w:rPr>
          <w:b/>
        </w:rPr>
        <w:fldChar w:fldCharType="begin"/>
      </w:r>
      <w:r>
        <w:rPr>
          <w:b/>
        </w:rPr>
        <w:instrText xml:space="preserve"> REF _Ref450943517 \r </w:instrText>
      </w:r>
      <w:r>
        <w:rPr>
          <w:b/>
        </w:rPr>
        <w:fldChar w:fldCharType="separate"/>
      </w:r>
      <w:r>
        <w:rPr>
          <w:b/>
        </w:rPr>
        <w:t>[15]</w:t>
      </w:r>
      <w:r>
        <w:rPr>
          <w:b/>
        </w:rPr>
        <w:fldChar w:fldCharType="end"/>
      </w:r>
    </w:p>
    <w:p w:rsidR="00AC4DBC" w:rsidRPr="00FE3981" w:rsidRDefault="00AC4DBC" w:rsidP="00AC4DBC">
      <w:pPr>
        <w:pStyle w:val="BodyText"/>
        <w:rPr>
          <w:b/>
        </w:rPr>
      </w:pPr>
      <w:r w:rsidRPr="00FE3981">
        <w:rPr>
          <w:b/>
        </w:rPr>
        <w:t>Observation</w:t>
      </w:r>
      <w:r w:rsidR="003C4C18">
        <w:rPr>
          <w:b/>
        </w:rPr>
        <w:t xml:space="preserve"> 4</w:t>
      </w:r>
      <w:r w:rsidRPr="00FE3981">
        <w:rPr>
          <w:b/>
        </w:rPr>
        <w:t xml:space="preserve">: Frequency-dependent trends are only observed in measurements where the measurements </w:t>
      </w:r>
      <w:r>
        <w:rPr>
          <w:b/>
        </w:rPr>
        <w:t xml:space="preserve">or analysis </w:t>
      </w:r>
      <w:r w:rsidRPr="00FE3981">
        <w:rPr>
          <w:b/>
        </w:rPr>
        <w:t xml:space="preserve">do not fulfill the comparability requirements of </w:t>
      </w:r>
      <w:r w:rsidRPr="00FE3981">
        <w:rPr>
          <w:b/>
        </w:rPr>
        <w:fldChar w:fldCharType="begin"/>
      </w:r>
      <w:r w:rsidRPr="00FE3981">
        <w:rPr>
          <w:b/>
        </w:rPr>
        <w:instrText xml:space="preserve"> REF _Ref450935028 \r </w:instrText>
      </w:r>
      <w:r>
        <w:rPr>
          <w:b/>
        </w:rPr>
        <w:instrText xml:space="preserve"> \* MERGEFORMAT </w:instrText>
      </w:r>
      <w:r w:rsidRPr="00FE3981">
        <w:rPr>
          <w:b/>
        </w:rPr>
        <w:fldChar w:fldCharType="separate"/>
      </w:r>
      <w:r>
        <w:rPr>
          <w:b/>
        </w:rPr>
        <w:t>[1]</w:t>
      </w:r>
      <w:r w:rsidRPr="00FE3981">
        <w:rPr>
          <w:b/>
        </w:rPr>
        <w:fldChar w:fldCharType="end"/>
      </w:r>
      <w:r>
        <w:rPr>
          <w:b/>
        </w:rPr>
        <w:t xml:space="preserve"> or </w:t>
      </w:r>
      <w:r w:rsidRPr="00FE3981">
        <w:rPr>
          <w:b/>
        </w:rPr>
        <w:t xml:space="preserve">where information </w:t>
      </w:r>
      <w:r>
        <w:rPr>
          <w:b/>
        </w:rPr>
        <w:t>that could be used to ascertain</w:t>
      </w:r>
      <w:r w:rsidRPr="00FE3981">
        <w:rPr>
          <w:b/>
        </w:rPr>
        <w:t xml:space="preserve"> comparability is lacking</w:t>
      </w:r>
    </w:p>
    <w:p w:rsidR="00681C63" w:rsidRDefault="00681C63" w:rsidP="00681C63">
      <w:pPr>
        <w:pStyle w:val="BodyText"/>
      </w:pPr>
      <w:r>
        <w:t xml:space="preserve">Since it has been shown in </w:t>
      </w:r>
      <w:r>
        <w:fldChar w:fldCharType="begin"/>
      </w:r>
      <w:r>
        <w:instrText xml:space="preserve"> REF _Ref450935028 \r </w:instrText>
      </w:r>
      <w:r>
        <w:fldChar w:fldCharType="separate"/>
      </w:r>
      <w:r>
        <w:t>[1]</w:t>
      </w:r>
      <w:r>
        <w:fldChar w:fldCharType="end"/>
      </w:r>
      <w:r>
        <w:t xml:space="preserve"> and </w:t>
      </w:r>
      <w:r>
        <w:fldChar w:fldCharType="begin"/>
      </w:r>
      <w:r>
        <w:instrText xml:space="preserve"> REF _Ref450939532 \r </w:instrText>
      </w:r>
      <w:r>
        <w:fldChar w:fldCharType="separate"/>
      </w:r>
      <w:r>
        <w:t>[2]</w:t>
      </w:r>
      <w:r>
        <w:fldChar w:fldCharType="end"/>
      </w:r>
      <w:r>
        <w:t xml:space="preserve"> that differences in measurement setup and analysis can introduce frequency-dependent bias in the results the conclusion has to be that there is too little scientific evidence suggesting frequency-dependent LSPs that would stand up to scrutiny. It is therefore proposed that the LSPs are modeled using frequency-independent or weakly frequency-dependent functions. This has the added benefit of lowering the complexity of implementation and simulation.</w:t>
      </w:r>
    </w:p>
    <w:p w:rsidR="00AE0917" w:rsidRPr="00681C63" w:rsidRDefault="00681C63" w:rsidP="00681C63">
      <w:pPr>
        <w:pStyle w:val="BodyText"/>
        <w:rPr>
          <w:b/>
        </w:rPr>
      </w:pPr>
      <w:r w:rsidRPr="00681C63">
        <w:rPr>
          <w:b/>
        </w:rPr>
        <w:t>Proposal: Use frequency-independent or weakly frequency-dependent functions for modeling LSPs</w:t>
      </w:r>
    </w:p>
    <w:p w:rsidR="00AE0917" w:rsidRDefault="00681C63" w:rsidP="00AE0917">
      <w:pPr>
        <w:pStyle w:val="Heading1"/>
      </w:pPr>
      <w:r>
        <w:t>Summary</w:t>
      </w:r>
    </w:p>
    <w:p w:rsidR="003C4C18" w:rsidRPr="00CC1489" w:rsidRDefault="003C4C18" w:rsidP="003C4C18">
      <w:pPr>
        <w:pStyle w:val="BodyText"/>
        <w:rPr>
          <w:b/>
        </w:rPr>
      </w:pPr>
      <w:r w:rsidRPr="00CC1489">
        <w:rPr>
          <w:b/>
        </w:rPr>
        <w:t>Observation</w:t>
      </w:r>
      <w:r>
        <w:rPr>
          <w:b/>
        </w:rPr>
        <w:t xml:space="preserve"> 1</w:t>
      </w:r>
      <w:r w:rsidRPr="00CC1489">
        <w:rPr>
          <w:b/>
        </w:rPr>
        <w:t>: Comparability between measurements at different frequency bands can easily be lost unless particular care is taken to ensure that all measurement and post</w:t>
      </w:r>
      <w:r w:rsidR="00FC204A">
        <w:rPr>
          <w:b/>
        </w:rPr>
        <w:t>-</w:t>
      </w:r>
      <w:r w:rsidRPr="00CC1489">
        <w:rPr>
          <w:b/>
        </w:rPr>
        <w:t>processing steps are identical</w:t>
      </w:r>
    </w:p>
    <w:p w:rsidR="00681C63" w:rsidRDefault="003C4C18" w:rsidP="00681C63">
      <w:pPr>
        <w:pStyle w:val="BodyText"/>
        <w:rPr>
          <w:b/>
        </w:rPr>
      </w:pPr>
      <w:r w:rsidRPr="007E1155">
        <w:rPr>
          <w:b/>
        </w:rPr>
        <w:t>Observation</w:t>
      </w:r>
      <w:r>
        <w:rPr>
          <w:b/>
        </w:rPr>
        <w:t xml:space="preserve"> 2</w:t>
      </w:r>
      <w:r w:rsidRPr="007E1155">
        <w:rPr>
          <w:b/>
        </w:rPr>
        <w:t xml:space="preserve">: Even with a very benign assumption on the comparability of the measurements in the white paper </w:t>
      </w:r>
      <w:r>
        <w:rPr>
          <w:b/>
        </w:rPr>
        <w:fldChar w:fldCharType="begin"/>
      </w:r>
      <w:r>
        <w:rPr>
          <w:b/>
        </w:rPr>
        <w:instrText xml:space="preserve"> REF _Ref446679181 \r </w:instrText>
      </w:r>
      <w:r>
        <w:rPr>
          <w:b/>
        </w:rPr>
        <w:fldChar w:fldCharType="separate"/>
      </w:r>
      <w:r>
        <w:rPr>
          <w:b/>
        </w:rPr>
        <w:t>[5]</w:t>
      </w:r>
      <w:r>
        <w:rPr>
          <w:b/>
        </w:rPr>
        <w:fldChar w:fldCharType="end"/>
      </w:r>
      <w:r>
        <w:rPr>
          <w:b/>
        </w:rPr>
        <w:t xml:space="preserve"> </w:t>
      </w:r>
      <w:r w:rsidRPr="007E1155">
        <w:rPr>
          <w:b/>
        </w:rPr>
        <w:t>there are still no conclusive trends on frequency-dependence of LSPs</w:t>
      </w:r>
    </w:p>
    <w:p w:rsidR="003C4C18" w:rsidRPr="007130FD" w:rsidRDefault="003C4C18" w:rsidP="003C4C18">
      <w:pPr>
        <w:pStyle w:val="BodyText"/>
        <w:rPr>
          <w:b/>
        </w:rPr>
      </w:pPr>
      <w:r w:rsidRPr="007130FD">
        <w:rPr>
          <w:b/>
        </w:rPr>
        <w:lastRenderedPageBreak/>
        <w:t>Observation</w:t>
      </w:r>
      <w:r>
        <w:rPr>
          <w:b/>
        </w:rPr>
        <w:t xml:space="preserve"> 3</w:t>
      </w:r>
      <w:r w:rsidRPr="007130FD">
        <w:rPr>
          <w:b/>
        </w:rPr>
        <w:t xml:space="preserve">: No obvious </w:t>
      </w:r>
      <w:r>
        <w:rPr>
          <w:b/>
        </w:rPr>
        <w:t xml:space="preserve">or very weak </w:t>
      </w:r>
      <w:r w:rsidRPr="007130FD">
        <w:rPr>
          <w:b/>
        </w:rPr>
        <w:t xml:space="preserve">frequency dependent trends are observed in measurements with a very high degree of comparability between measurements at different frequency bands such as </w:t>
      </w:r>
      <w:r>
        <w:fldChar w:fldCharType="begin"/>
      </w:r>
      <w:r>
        <w:instrText xml:space="preserve"> REF _Ref450939211 \r </w:instrText>
      </w:r>
      <w:r>
        <w:fldChar w:fldCharType="separate"/>
      </w:r>
      <w:r>
        <w:t>[7]</w:t>
      </w:r>
      <w:r>
        <w:fldChar w:fldCharType="end"/>
      </w:r>
      <w:r w:rsidRPr="007130FD">
        <w:rPr>
          <w:b/>
        </w:rPr>
        <w:t xml:space="preserve"> </w:t>
      </w:r>
      <w:r>
        <w:rPr>
          <w:b/>
        </w:rPr>
        <w:fldChar w:fldCharType="begin"/>
      </w:r>
      <w:r>
        <w:rPr>
          <w:b/>
        </w:rPr>
        <w:instrText xml:space="preserve"> REF _Ref450939353 \r </w:instrText>
      </w:r>
      <w:r>
        <w:rPr>
          <w:b/>
        </w:rPr>
        <w:fldChar w:fldCharType="separate"/>
      </w:r>
      <w:r>
        <w:rPr>
          <w:b/>
        </w:rPr>
        <w:t>[8</w:t>
      </w:r>
      <w:proofErr w:type="gramStart"/>
      <w:r>
        <w:rPr>
          <w:b/>
        </w:rPr>
        <w:t>]</w:t>
      </w:r>
      <w:proofErr w:type="gramEnd"/>
      <w:r>
        <w:rPr>
          <w:b/>
        </w:rPr>
        <w:fldChar w:fldCharType="end"/>
      </w:r>
      <w:r>
        <w:rPr>
          <w:b/>
        </w:rPr>
        <w:fldChar w:fldCharType="begin"/>
      </w:r>
      <w:r>
        <w:rPr>
          <w:b/>
        </w:rPr>
        <w:instrText xml:space="preserve"> REF _Ref450939675 \r </w:instrText>
      </w:r>
      <w:r>
        <w:rPr>
          <w:b/>
        </w:rPr>
        <w:fldChar w:fldCharType="separate"/>
      </w:r>
      <w:r>
        <w:rPr>
          <w:b/>
        </w:rPr>
        <w:t>[9]</w:t>
      </w:r>
      <w:r>
        <w:rPr>
          <w:b/>
        </w:rPr>
        <w:fldChar w:fldCharType="end"/>
      </w:r>
      <w:r>
        <w:rPr>
          <w:b/>
        </w:rPr>
        <w:fldChar w:fldCharType="begin"/>
      </w:r>
      <w:r>
        <w:rPr>
          <w:b/>
        </w:rPr>
        <w:instrText xml:space="preserve"> REF _Ref450940382 \r </w:instrText>
      </w:r>
      <w:r>
        <w:rPr>
          <w:b/>
        </w:rPr>
        <w:fldChar w:fldCharType="separate"/>
      </w:r>
      <w:r>
        <w:rPr>
          <w:b/>
        </w:rPr>
        <w:t>[10]</w:t>
      </w:r>
      <w:r>
        <w:rPr>
          <w:b/>
        </w:rPr>
        <w:fldChar w:fldCharType="end"/>
      </w:r>
      <w:r>
        <w:rPr>
          <w:b/>
        </w:rPr>
        <w:fldChar w:fldCharType="begin"/>
      </w:r>
      <w:r>
        <w:rPr>
          <w:b/>
        </w:rPr>
        <w:instrText xml:space="preserve"> REF _Ref450940614 \r </w:instrText>
      </w:r>
      <w:r>
        <w:rPr>
          <w:b/>
        </w:rPr>
        <w:fldChar w:fldCharType="separate"/>
      </w:r>
      <w:r>
        <w:rPr>
          <w:b/>
        </w:rPr>
        <w:t>[11]</w:t>
      </w:r>
      <w:r>
        <w:rPr>
          <w:b/>
        </w:rPr>
        <w:fldChar w:fldCharType="end"/>
      </w:r>
      <w:r>
        <w:rPr>
          <w:b/>
        </w:rPr>
        <w:fldChar w:fldCharType="begin"/>
      </w:r>
      <w:r>
        <w:rPr>
          <w:b/>
        </w:rPr>
        <w:instrText xml:space="preserve"> REF _Ref450942473 \r </w:instrText>
      </w:r>
      <w:r>
        <w:rPr>
          <w:b/>
        </w:rPr>
        <w:fldChar w:fldCharType="separate"/>
      </w:r>
      <w:r>
        <w:rPr>
          <w:b/>
        </w:rPr>
        <w:t>[14]</w:t>
      </w:r>
      <w:r>
        <w:rPr>
          <w:b/>
        </w:rPr>
        <w:fldChar w:fldCharType="end"/>
      </w:r>
      <w:r>
        <w:rPr>
          <w:b/>
        </w:rPr>
        <w:fldChar w:fldCharType="begin"/>
      </w:r>
      <w:r>
        <w:rPr>
          <w:b/>
        </w:rPr>
        <w:instrText xml:space="preserve"> REF _Ref450943517 \r </w:instrText>
      </w:r>
      <w:r>
        <w:rPr>
          <w:b/>
        </w:rPr>
        <w:fldChar w:fldCharType="separate"/>
      </w:r>
      <w:r>
        <w:rPr>
          <w:b/>
        </w:rPr>
        <w:t>[15]</w:t>
      </w:r>
      <w:r>
        <w:rPr>
          <w:b/>
        </w:rPr>
        <w:fldChar w:fldCharType="end"/>
      </w:r>
    </w:p>
    <w:p w:rsidR="003C4C18" w:rsidRPr="00FE3981" w:rsidRDefault="003C4C18" w:rsidP="003C4C18">
      <w:pPr>
        <w:pStyle w:val="BodyText"/>
        <w:rPr>
          <w:b/>
        </w:rPr>
      </w:pPr>
      <w:r w:rsidRPr="00FE3981">
        <w:rPr>
          <w:b/>
        </w:rPr>
        <w:t>Observation</w:t>
      </w:r>
      <w:r>
        <w:rPr>
          <w:b/>
        </w:rPr>
        <w:t xml:space="preserve"> 4</w:t>
      </w:r>
      <w:r w:rsidRPr="00FE3981">
        <w:rPr>
          <w:b/>
        </w:rPr>
        <w:t xml:space="preserve">: Frequency-dependent trends are only observed in measurements where the measurements </w:t>
      </w:r>
      <w:r>
        <w:rPr>
          <w:b/>
        </w:rPr>
        <w:t xml:space="preserve">or analysis </w:t>
      </w:r>
      <w:r w:rsidRPr="00FE3981">
        <w:rPr>
          <w:b/>
        </w:rPr>
        <w:t xml:space="preserve">do not fulfill the comparability requirements of </w:t>
      </w:r>
      <w:r w:rsidRPr="00FE3981">
        <w:rPr>
          <w:b/>
        </w:rPr>
        <w:fldChar w:fldCharType="begin"/>
      </w:r>
      <w:r w:rsidRPr="00FE3981">
        <w:rPr>
          <w:b/>
        </w:rPr>
        <w:instrText xml:space="preserve"> REF _Ref450935028 \r </w:instrText>
      </w:r>
      <w:r>
        <w:rPr>
          <w:b/>
        </w:rPr>
        <w:instrText xml:space="preserve"> \* MERGEFORMAT </w:instrText>
      </w:r>
      <w:r w:rsidRPr="00FE3981">
        <w:rPr>
          <w:b/>
        </w:rPr>
        <w:fldChar w:fldCharType="separate"/>
      </w:r>
      <w:r>
        <w:rPr>
          <w:b/>
        </w:rPr>
        <w:t>[1]</w:t>
      </w:r>
      <w:r w:rsidRPr="00FE3981">
        <w:rPr>
          <w:b/>
        </w:rPr>
        <w:fldChar w:fldCharType="end"/>
      </w:r>
      <w:r>
        <w:rPr>
          <w:b/>
        </w:rPr>
        <w:t xml:space="preserve"> or </w:t>
      </w:r>
      <w:r w:rsidRPr="00FE3981">
        <w:rPr>
          <w:b/>
        </w:rPr>
        <w:t xml:space="preserve">where information </w:t>
      </w:r>
      <w:r>
        <w:rPr>
          <w:b/>
        </w:rPr>
        <w:t>that could be used to ascertain</w:t>
      </w:r>
      <w:r w:rsidRPr="00FE3981">
        <w:rPr>
          <w:b/>
        </w:rPr>
        <w:t xml:space="preserve"> comparability is lacking</w:t>
      </w:r>
    </w:p>
    <w:p w:rsidR="003C4C18" w:rsidRPr="00681C63" w:rsidRDefault="003C4C18" w:rsidP="003C4C18">
      <w:pPr>
        <w:pStyle w:val="BodyText"/>
        <w:rPr>
          <w:b/>
        </w:rPr>
      </w:pPr>
      <w:r w:rsidRPr="00681C63">
        <w:rPr>
          <w:b/>
        </w:rPr>
        <w:t>Proposal: Use frequency-independent or weakly frequency-dependent functions for modeling LSPs</w:t>
      </w:r>
    </w:p>
    <w:p w:rsidR="00AE0917" w:rsidRDefault="00AE0917" w:rsidP="00AE0917">
      <w:pPr>
        <w:pStyle w:val="Heading1"/>
      </w:pPr>
      <w:r>
        <w:t>References</w:t>
      </w:r>
    </w:p>
    <w:p w:rsidR="003F5DDC" w:rsidRDefault="003F5DDC" w:rsidP="003F5DDC">
      <w:pPr>
        <w:numPr>
          <w:ilvl w:val="0"/>
          <w:numId w:val="2"/>
        </w:numPr>
        <w:jc w:val="both"/>
        <w:rPr>
          <w:szCs w:val="20"/>
          <w:lang w:val="it-IT"/>
        </w:rPr>
      </w:pPr>
      <w:bookmarkStart w:id="5" w:name="_Ref446057119"/>
      <w:bookmarkStart w:id="6" w:name="_Ref450935028"/>
      <w:r w:rsidRPr="003F5DDC">
        <w:rPr>
          <w:szCs w:val="20"/>
          <w:lang w:val="it-IT"/>
        </w:rPr>
        <w:t>R1-163257</w:t>
      </w:r>
      <w:r>
        <w:rPr>
          <w:szCs w:val="20"/>
          <w:lang w:val="it-IT"/>
        </w:rPr>
        <w:t>, “</w:t>
      </w:r>
      <w:r w:rsidRPr="003F5DDC">
        <w:rPr>
          <w:szCs w:val="20"/>
          <w:lang w:val="it-IT"/>
        </w:rPr>
        <w:t>Requirements for Comparability of Radio Channel Measurements</w:t>
      </w:r>
      <w:r>
        <w:rPr>
          <w:szCs w:val="20"/>
          <w:lang w:val="it-IT"/>
        </w:rPr>
        <w:t xml:space="preserve">”, </w:t>
      </w:r>
      <w:r w:rsidRPr="003F5DDC">
        <w:rPr>
          <w:szCs w:val="20"/>
          <w:lang w:val="it-IT"/>
        </w:rPr>
        <w:t>Ericsson</w:t>
      </w:r>
      <w:r>
        <w:rPr>
          <w:szCs w:val="20"/>
          <w:lang w:val="it-IT"/>
        </w:rPr>
        <w:t xml:space="preserve">, </w:t>
      </w:r>
      <w:r w:rsidRPr="003F5DDC">
        <w:rPr>
          <w:szCs w:val="20"/>
          <w:lang w:val="it-IT"/>
        </w:rPr>
        <w:t>Busan, Korea 11th - 15th April 2016</w:t>
      </w:r>
      <w:bookmarkEnd w:id="6"/>
    </w:p>
    <w:p w:rsidR="00513735" w:rsidRDefault="00513735" w:rsidP="00513735">
      <w:pPr>
        <w:numPr>
          <w:ilvl w:val="0"/>
          <w:numId w:val="2"/>
        </w:numPr>
        <w:jc w:val="both"/>
        <w:rPr>
          <w:szCs w:val="20"/>
          <w:lang w:val="it-IT"/>
        </w:rPr>
      </w:pPr>
      <w:bookmarkStart w:id="7" w:name="_Ref450939532"/>
      <w:r w:rsidRPr="00513735">
        <w:rPr>
          <w:szCs w:val="20"/>
          <w:lang w:val="it-IT"/>
        </w:rPr>
        <w:t>R1-161683</w:t>
      </w:r>
      <w:r>
        <w:rPr>
          <w:szCs w:val="20"/>
          <w:lang w:val="it-IT"/>
        </w:rPr>
        <w:t>, “</w:t>
      </w:r>
      <w:r w:rsidRPr="00513735">
        <w:rPr>
          <w:szCs w:val="20"/>
          <w:lang w:val="it-IT"/>
        </w:rPr>
        <w:t>Comparability of channel measurements to estimate large scale parameters for channel modelling</w:t>
      </w:r>
      <w:r>
        <w:rPr>
          <w:szCs w:val="20"/>
          <w:lang w:val="it-IT"/>
        </w:rPr>
        <w:t xml:space="preserve">”, </w:t>
      </w:r>
      <w:r w:rsidRPr="00513735">
        <w:rPr>
          <w:szCs w:val="20"/>
          <w:lang w:val="it-IT"/>
        </w:rPr>
        <w:t>Rohde &amp; Schwarz, Fraunhofer HHI</w:t>
      </w:r>
      <w:r>
        <w:rPr>
          <w:szCs w:val="20"/>
          <w:lang w:val="it-IT"/>
        </w:rPr>
        <w:t xml:space="preserve">, </w:t>
      </w:r>
      <w:r>
        <w:t>Ljubljana</w:t>
      </w:r>
      <w:r w:rsidRPr="001142F3">
        <w:t xml:space="preserve">, </w:t>
      </w:r>
      <w:r>
        <w:t>Slovenia</w:t>
      </w:r>
      <w:r w:rsidRPr="001142F3">
        <w:t xml:space="preserve">, </w:t>
      </w:r>
      <w:r>
        <w:t>14</w:t>
      </w:r>
      <w:r w:rsidRPr="00F53443">
        <w:rPr>
          <w:vertAlign w:val="superscript"/>
        </w:rPr>
        <w:t>th</w:t>
      </w:r>
      <w:r w:rsidRPr="001142F3">
        <w:t xml:space="preserve"> – </w:t>
      </w:r>
      <w:r>
        <w:t>16</w:t>
      </w:r>
      <w:r w:rsidRPr="007D0704">
        <w:rPr>
          <w:vertAlign w:val="superscript"/>
        </w:rPr>
        <w:t>th</w:t>
      </w:r>
      <w:r>
        <w:t xml:space="preserve"> March 2016.</w:t>
      </w:r>
      <w:bookmarkEnd w:id="7"/>
    </w:p>
    <w:p w:rsidR="00CC1489" w:rsidRPr="00CC1489" w:rsidRDefault="00CC1489" w:rsidP="003F5DDC">
      <w:pPr>
        <w:numPr>
          <w:ilvl w:val="0"/>
          <w:numId w:val="2"/>
        </w:numPr>
        <w:jc w:val="both"/>
        <w:rPr>
          <w:szCs w:val="20"/>
          <w:lang w:val="it-IT"/>
        </w:rPr>
      </w:pPr>
      <w:bookmarkStart w:id="8" w:name="_Ref447149981"/>
      <w:r>
        <w:t>3GPP R1-161694, “</w:t>
      </w:r>
      <w:r w:rsidRPr="00695FF4">
        <w:t>Modelling of atmospheric loss</w:t>
      </w:r>
      <w:r>
        <w:t xml:space="preserve">”, </w:t>
      </w:r>
      <w:r w:rsidRPr="00695FF4">
        <w:t xml:space="preserve">Ericsson, Nokia Networks, AT&amp;T, CMCC, ETRI, Huawei, </w:t>
      </w:r>
      <w:proofErr w:type="spellStart"/>
      <w:r w:rsidRPr="00695FF4">
        <w:t>HiSilicon</w:t>
      </w:r>
      <w:proofErr w:type="spellEnd"/>
      <w:r w:rsidRPr="00695FF4">
        <w:t>, Intel, KT Corporation, NTT DOCOMO, Qualcomm, Samsung</w:t>
      </w:r>
      <w:r>
        <w:t>, March 2016.</w:t>
      </w:r>
      <w:bookmarkEnd w:id="8"/>
    </w:p>
    <w:p w:rsidR="00CC1489" w:rsidRDefault="00C96F35" w:rsidP="00C96F35">
      <w:pPr>
        <w:numPr>
          <w:ilvl w:val="0"/>
          <w:numId w:val="2"/>
        </w:numPr>
        <w:jc w:val="both"/>
        <w:rPr>
          <w:szCs w:val="20"/>
          <w:lang w:val="it-IT"/>
        </w:rPr>
      </w:pPr>
      <w:bookmarkStart w:id="9" w:name="_Ref450935941"/>
      <w:r w:rsidRPr="00C96F35">
        <w:rPr>
          <w:szCs w:val="20"/>
          <w:lang w:val="it-IT"/>
        </w:rPr>
        <w:t>Millimetre-Wave Based Mobile Radio Access Network for Fifth Generation Integrated Communications (mmMAGIC)</w:t>
      </w:r>
      <w:r w:rsidR="00CC1489">
        <w:rPr>
          <w:szCs w:val="20"/>
          <w:lang w:val="it-IT"/>
        </w:rPr>
        <w:t>, “</w:t>
      </w:r>
      <w:r w:rsidR="00CC1489" w:rsidRPr="00CC1489">
        <w:rPr>
          <w:szCs w:val="20"/>
          <w:lang w:val="it-IT"/>
        </w:rPr>
        <w:t>Measurement Campaigns and Initial Channel Models for Preferred Suitable Frequency Ranges</w:t>
      </w:r>
      <w:r w:rsidR="00CC1489">
        <w:rPr>
          <w:szCs w:val="20"/>
          <w:lang w:val="it-IT"/>
        </w:rPr>
        <w:t>”</w:t>
      </w:r>
      <w:r>
        <w:rPr>
          <w:szCs w:val="20"/>
          <w:lang w:val="it-IT"/>
        </w:rPr>
        <w:t xml:space="preserve">, Deliverable D2.1, March 2016. Online: </w:t>
      </w:r>
      <w:r>
        <w:rPr>
          <w:szCs w:val="20"/>
          <w:lang w:val="it-IT"/>
        </w:rPr>
        <w:fldChar w:fldCharType="begin"/>
      </w:r>
      <w:r>
        <w:rPr>
          <w:szCs w:val="20"/>
          <w:lang w:val="it-IT"/>
        </w:rPr>
        <w:instrText xml:space="preserve"> HYPERLINK "</w:instrText>
      </w:r>
      <w:r w:rsidRPr="00C96F35">
        <w:rPr>
          <w:szCs w:val="20"/>
          <w:lang w:val="it-IT"/>
        </w:rPr>
        <w:instrText>https://bscw.5g-mmmagic.eu/pub/bscw.cgi/d94832/mmMAGIC_D2-1.pdf</w:instrText>
      </w:r>
      <w:r>
        <w:rPr>
          <w:szCs w:val="20"/>
          <w:lang w:val="it-IT"/>
        </w:rPr>
        <w:instrText xml:space="preserve">" </w:instrText>
      </w:r>
      <w:r w:rsidR="0019051E">
        <w:rPr>
          <w:szCs w:val="20"/>
          <w:lang w:val="it-IT"/>
        </w:rPr>
      </w:r>
      <w:r>
        <w:rPr>
          <w:szCs w:val="20"/>
          <w:lang w:val="it-IT"/>
        </w:rPr>
        <w:fldChar w:fldCharType="separate"/>
      </w:r>
      <w:r w:rsidRPr="00E45B94">
        <w:rPr>
          <w:rStyle w:val="Hyperlink"/>
          <w:szCs w:val="20"/>
          <w:lang w:val="it-IT"/>
        </w:rPr>
        <w:t>https://bscw.5g-mmmagic.eu/pub/bscw.cgi/d94832/mmMAGIC_D2-1.pdf</w:t>
      </w:r>
      <w:r>
        <w:rPr>
          <w:szCs w:val="20"/>
          <w:lang w:val="it-IT"/>
        </w:rPr>
        <w:fldChar w:fldCharType="end"/>
      </w:r>
      <w:bookmarkEnd w:id="9"/>
    </w:p>
    <w:p w:rsidR="00C96F35" w:rsidRPr="003F5DDC" w:rsidRDefault="00A25898" w:rsidP="00C96F35">
      <w:pPr>
        <w:numPr>
          <w:ilvl w:val="0"/>
          <w:numId w:val="2"/>
        </w:numPr>
        <w:jc w:val="both"/>
        <w:rPr>
          <w:szCs w:val="20"/>
          <w:lang w:val="it-IT"/>
        </w:rPr>
      </w:pPr>
      <w:bookmarkStart w:id="10" w:name="_Ref446679181"/>
      <w:r w:rsidRPr="00834962">
        <w:rPr>
          <w:lang w:val="en-GB"/>
        </w:rPr>
        <w:t>Aalto University, AT&amp;T, BUPT, CMCC, Ericsson, Huawei, Intel, KT Corporation, Nokia, NTT DOCOMO, New York University, Qualcomm, Samsung, University of Bristol, University of Southern California, “5G Channel Model for bands up to 100 GHz (v2.0)”, Mar. 2016 (http://www.5gworkshops.com/5GCM.html).</w:t>
      </w:r>
      <w:bookmarkEnd w:id="10"/>
    </w:p>
    <w:p w:rsidR="00CC1489" w:rsidRDefault="00812575" w:rsidP="00812575">
      <w:pPr>
        <w:numPr>
          <w:ilvl w:val="0"/>
          <w:numId w:val="2"/>
        </w:numPr>
        <w:jc w:val="both"/>
        <w:rPr>
          <w:szCs w:val="20"/>
          <w:lang w:val="it-IT"/>
        </w:rPr>
      </w:pPr>
      <w:bookmarkStart w:id="11" w:name="_Ref446056712"/>
      <w:bookmarkStart w:id="12" w:name="_Ref450938326"/>
      <w:bookmarkEnd w:id="5"/>
      <w:r w:rsidRPr="00812575">
        <w:rPr>
          <w:szCs w:val="20"/>
          <w:lang w:val="it-IT"/>
        </w:rPr>
        <w:t>R1-163253</w:t>
      </w:r>
      <w:r>
        <w:rPr>
          <w:szCs w:val="20"/>
          <w:lang w:val="it-IT"/>
        </w:rPr>
        <w:t>, “</w:t>
      </w:r>
      <w:r w:rsidRPr="00812575">
        <w:rPr>
          <w:szCs w:val="20"/>
          <w:lang w:val="it-IT"/>
        </w:rPr>
        <w:t>On the frequency dependence of LSPs in reported UMi and InH measurements</w:t>
      </w:r>
      <w:r>
        <w:rPr>
          <w:szCs w:val="20"/>
          <w:lang w:val="it-IT"/>
        </w:rPr>
        <w:t xml:space="preserve">”, </w:t>
      </w:r>
      <w:r w:rsidRPr="00812575">
        <w:rPr>
          <w:szCs w:val="20"/>
          <w:lang w:val="it-IT"/>
        </w:rPr>
        <w:t>Ericsson</w:t>
      </w:r>
      <w:r>
        <w:rPr>
          <w:szCs w:val="20"/>
          <w:lang w:val="it-IT"/>
        </w:rPr>
        <w:t xml:space="preserve">, </w:t>
      </w:r>
      <w:r w:rsidRPr="003F5DDC">
        <w:rPr>
          <w:szCs w:val="20"/>
          <w:lang w:val="it-IT"/>
        </w:rPr>
        <w:t>Busan, Korea 11th - 15th April 2016</w:t>
      </w:r>
      <w:r>
        <w:rPr>
          <w:szCs w:val="20"/>
          <w:lang w:val="it-IT"/>
        </w:rPr>
        <w:t>.</w:t>
      </w:r>
      <w:bookmarkEnd w:id="12"/>
    </w:p>
    <w:p w:rsidR="003F5DDC" w:rsidRDefault="003F5DDC" w:rsidP="003F5DDC">
      <w:pPr>
        <w:numPr>
          <w:ilvl w:val="0"/>
          <w:numId w:val="2"/>
        </w:numPr>
        <w:jc w:val="both"/>
        <w:rPr>
          <w:szCs w:val="20"/>
          <w:lang w:val="it-IT"/>
        </w:rPr>
      </w:pPr>
      <w:bookmarkStart w:id="13" w:name="_Ref450939211"/>
      <w:r>
        <w:rPr>
          <w:szCs w:val="20"/>
          <w:lang w:val="it-IT"/>
        </w:rPr>
        <w:t>J. Medbo, N. Seifi and H. Asplund, “</w:t>
      </w:r>
      <w:r w:rsidRPr="0072379A">
        <w:rPr>
          <w:szCs w:val="20"/>
          <w:lang w:val="it-IT"/>
        </w:rPr>
        <w:t>Frequency Dependency of Measured Highly Resolved Directional Propagation Channel Characteristics</w:t>
      </w:r>
      <w:r>
        <w:rPr>
          <w:szCs w:val="20"/>
          <w:lang w:val="it-IT"/>
        </w:rPr>
        <w:t xml:space="preserve">”, to appear in </w:t>
      </w:r>
      <w:r w:rsidRPr="0072379A">
        <w:rPr>
          <w:i/>
          <w:szCs w:val="20"/>
          <w:lang w:val="it-IT"/>
        </w:rPr>
        <w:t>European Wireless conference 2016 (EW2016)</w:t>
      </w:r>
      <w:r>
        <w:rPr>
          <w:szCs w:val="20"/>
          <w:lang w:val="it-IT"/>
        </w:rPr>
        <w:t>, Oulo, Finland, 18-20 May 2016.</w:t>
      </w:r>
      <w:bookmarkEnd w:id="11"/>
      <w:bookmarkEnd w:id="13"/>
      <w:r>
        <w:rPr>
          <w:szCs w:val="20"/>
          <w:lang w:val="it-IT"/>
        </w:rPr>
        <w:t xml:space="preserve"> </w:t>
      </w:r>
    </w:p>
    <w:p w:rsidR="00513735" w:rsidRPr="00513735" w:rsidRDefault="00513735" w:rsidP="00513735">
      <w:pPr>
        <w:numPr>
          <w:ilvl w:val="0"/>
          <w:numId w:val="2"/>
        </w:numPr>
        <w:jc w:val="both"/>
        <w:rPr>
          <w:szCs w:val="20"/>
          <w:lang w:val="it-IT"/>
        </w:rPr>
      </w:pPr>
      <w:bookmarkStart w:id="14" w:name="_Ref450939353"/>
      <w:r w:rsidRPr="00513735">
        <w:rPr>
          <w:szCs w:val="20"/>
          <w:lang w:val="it-IT"/>
        </w:rPr>
        <w:t>R1-161691</w:t>
      </w:r>
      <w:r>
        <w:rPr>
          <w:szCs w:val="20"/>
          <w:lang w:val="it-IT"/>
        </w:rPr>
        <w:t>, “</w:t>
      </w:r>
      <w:r w:rsidRPr="00513735">
        <w:rPr>
          <w:szCs w:val="20"/>
          <w:lang w:val="it-IT"/>
        </w:rPr>
        <w:t>Microcell measurements</w:t>
      </w:r>
      <w:r>
        <w:rPr>
          <w:szCs w:val="20"/>
          <w:lang w:val="it-IT"/>
        </w:rPr>
        <w:t xml:space="preserve">”, </w:t>
      </w:r>
      <w:r w:rsidRPr="00513735">
        <w:rPr>
          <w:szCs w:val="20"/>
          <w:lang w:val="it-IT"/>
        </w:rPr>
        <w:t>Ericsson</w:t>
      </w:r>
      <w:r>
        <w:rPr>
          <w:szCs w:val="20"/>
          <w:lang w:val="it-IT"/>
        </w:rPr>
        <w:t xml:space="preserve">, </w:t>
      </w:r>
      <w:r>
        <w:t>Ljubljana</w:t>
      </w:r>
      <w:r w:rsidRPr="001142F3">
        <w:t xml:space="preserve">, </w:t>
      </w:r>
      <w:r>
        <w:t>Slovenia</w:t>
      </w:r>
      <w:r w:rsidRPr="001142F3">
        <w:t xml:space="preserve">, </w:t>
      </w:r>
      <w:r>
        <w:t>14</w:t>
      </w:r>
      <w:r w:rsidRPr="00F53443">
        <w:rPr>
          <w:vertAlign w:val="superscript"/>
        </w:rPr>
        <w:t>th</w:t>
      </w:r>
      <w:r w:rsidRPr="001142F3">
        <w:t xml:space="preserve"> – </w:t>
      </w:r>
      <w:r>
        <w:t>16</w:t>
      </w:r>
      <w:r w:rsidRPr="007D0704">
        <w:rPr>
          <w:vertAlign w:val="superscript"/>
        </w:rPr>
        <w:t>th</w:t>
      </w:r>
      <w:r>
        <w:t xml:space="preserve"> March 2016.</w:t>
      </w:r>
      <w:bookmarkEnd w:id="14"/>
    </w:p>
    <w:p w:rsidR="00513735" w:rsidRDefault="00513735" w:rsidP="00513735">
      <w:pPr>
        <w:numPr>
          <w:ilvl w:val="0"/>
          <w:numId w:val="2"/>
        </w:numPr>
        <w:jc w:val="both"/>
        <w:rPr>
          <w:szCs w:val="20"/>
          <w:lang w:val="it-IT"/>
        </w:rPr>
      </w:pPr>
      <w:bookmarkStart w:id="15" w:name="_Ref450939675"/>
      <w:r w:rsidRPr="00513735">
        <w:rPr>
          <w:szCs w:val="20"/>
          <w:lang w:val="it-IT"/>
        </w:rPr>
        <w:t>R1-163252</w:t>
      </w:r>
      <w:r>
        <w:rPr>
          <w:szCs w:val="20"/>
          <w:lang w:val="it-IT"/>
        </w:rPr>
        <w:t>, “</w:t>
      </w:r>
      <w:r w:rsidRPr="00513735">
        <w:rPr>
          <w:szCs w:val="20"/>
          <w:lang w:val="it-IT"/>
        </w:rPr>
        <w:t>New InH measurements of the frequency dependence of delay spread</w:t>
      </w:r>
      <w:r>
        <w:rPr>
          <w:szCs w:val="20"/>
          <w:lang w:val="it-IT"/>
        </w:rPr>
        <w:t xml:space="preserve">”, </w:t>
      </w:r>
      <w:r w:rsidRPr="00513735">
        <w:rPr>
          <w:szCs w:val="20"/>
          <w:lang w:val="it-IT"/>
        </w:rPr>
        <w:t>Ericsson, Telstra</w:t>
      </w:r>
      <w:r>
        <w:rPr>
          <w:szCs w:val="20"/>
          <w:lang w:val="it-IT"/>
        </w:rPr>
        <w:t xml:space="preserve">, </w:t>
      </w:r>
      <w:r w:rsidRPr="003F5DDC">
        <w:rPr>
          <w:szCs w:val="20"/>
          <w:lang w:val="it-IT"/>
        </w:rPr>
        <w:t>Busan, Korea 11th - 15th April 2016</w:t>
      </w:r>
      <w:r>
        <w:rPr>
          <w:szCs w:val="20"/>
          <w:lang w:val="it-IT"/>
        </w:rPr>
        <w:t>.</w:t>
      </w:r>
      <w:bookmarkEnd w:id="15"/>
    </w:p>
    <w:p w:rsidR="00630AA8" w:rsidRPr="00630AA8" w:rsidRDefault="00630AA8" w:rsidP="00513735">
      <w:pPr>
        <w:numPr>
          <w:ilvl w:val="0"/>
          <w:numId w:val="2"/>
        </w:numPr>
        <w:jc w:val="both"/>
        <w:rPr>
          <w:szCs w:val="20"/>
          <w:lang w:val="it-IT"/>
        </w:rPr>
      </w:pPr>
      <w:bookmarkStart w:id="16" w:name="_Ref450940382"/>
      <w:r>
        <w:t>R1-161688, “</w:t>
      </w:r>
      <w:r w:rsidRPr="00FB04AC">
        <w:t>Measurements of path and penetration losses at multiple carrier frequencies</w:t>
      </w:r>
      <w:r>
        <w:t xml:space="preserve">”, Ericsson, </w:t>
      </w:r>
      <w:r w:rsidRPr="001C2672">
        <w:t>Ljubljana, Slovenia, 14 – 16 March, 2016</w:t>
      </w:r>
      <w:r>
        <w:t>.</w:t>
      </w:r>
      <w:bookmarkEnd w:id="16"/>
    </w:p>
    <w:p w:rsidR="00630AA8" w:rsidRPr="00630AA8" w:rsidRDefault="00630AA8" w:rsidP="00513735">
      <w:pPr>
        <w:numPr>
          <w:ilvl w:val="0"/>
          <w:numId w:val="2"/>
        </w:numPr>
        <w:jc w:val="both"/>
        <w:rPr>
          <w:szCs w:val="20"/>
          <w:lang w:val="it-IT"/>
        </w:rPr>
      </w:pPr>
      <w:bookmarkStart w:id="17" w:name="_Ref450940614"/>
      <w:r w:rsidRPr="00630AA8">
        <w:rPr>
          <w:szCs w:val="20"/>
        </w:rPr>
        <w:t xml:space="preserve">J. </w:t>
      </w:r>
      <w:proofErr w:type="spellStart"/>
      <w:r w:rsidRPr="00630AA8">
        <w:rPr>
          <w:szCs w:val="20"/>
        </w:rPr>
        <w:t>Vehmas</w:t>
      </w:r>
      <w:proofErr w:type="spellEnd"/>
      <w:r w:rsidRPr="00630AA8">
        <w:rPr>
          <w:szCs w:val="20"/>
        </w:rPr>
        <w:t xml:space="preserve">, J. Järveläinen, S. Nguyen, R. </w:t>
      </w:r>
      <w:proofErr w:type="spellStart"/>
      <w:r w:rsidRPr="00630AA8">
        <w:rPr>
          <w:szCs w:val="20"/>
        </w:rPr>
        <w:t>Naderpour</w:t>
      </w:r>
      <w:proofErr w:type="spellEnd"/>
      <w:r w:rsidRPr="00630AA8">
        <w:rPr>
          <w:szCs w:val="20"/>
        </w:rPr>
        <w:t xml:space="preserve">, and K. </w:t>
      </w:r>
      <w:proofErr w:type="spellStart"/>
      <w:r w:rsidRPr="00630AA8">
        <w:rPr>
          <w:szCs w:val="20"/>
        </w:rPr>
        <w:t>Haneda</w:t>
      </w:r>
      <w:proofErr w:type="spellEnd"/>
      <w:r w:rsidRPr="00630AA8">
        <w:rPr>
          <w:szCs w:val="20"/>
        </w:rPr>
        <w:t>, "Millimeter-Wave Channel Characterization at Helsinki Airport in the 15, 28, and 60 GHz", submitted to VTC-Fall 2016.</w:t>
      </w:r>
      <w:bookmarkEnd w:id="17"/>
    </w:p>
    <w:p w:rsidR="00630AA8" w:rsidRDefault="00630AA8" w:rsidP="00630AA8">
      <w:pPr>
        <w:numPr>
          <w:ilvl w:val="0"/>
          <w:numId w:val="2"/>
        </w:numPr>
        <w:jc w:val="both"/>
        <w:rPr>
          <w:szCs w:val="20"/>
          <w:lang w:val="it-IT"/>
        </w:rPr>
      </w:pPr>
      <w:bookmarkStart w:id="18" w:name="_Ref450940624"/>
      <w:r w:rsidRPr="00630AA8">
        <w:rPr>
          <w:szCs w:val="20"/>
          <w:lang w:val="it-IT"/>
        </w:rPr>
        <w:t>R1-165350</w:t>
      </w:r>
      <w:r>
        <w:rPr>
          <w:szCs w:val="20"/>
          <w:lang w:val="it-IT"/>
        </w:rPr>
        <w:t>, “</w:t>
      </w:r>
      <w:r w:rsidRPr="00630AA8">
        <w:rPr>
          <w:szCs w:val="20"/>
        </w:rPr>
        <w:t>Clarifications on frequency correlation</w:t>
      </w:r>
      <w:r>
        <w:rPr>
          <w:szCs w:val="20"/>
          <w:lang w:val="it-IT"/>
        </w:rPr>
        <w:t xml:space="preserve">”, </w:t>
      </w:r>
      <w:r w:rsidRPr="00630AA8">
        <w:rPr>
          <w:szCs w:val="20"/>
          <w:lang w:val="it-IT"/>
        </w:rPr>
        <w:t>Ericsson, AT&amp;T, ETRI, Intel, KT Corporation, Nokia, NTT DOCOMO, Qualcomm, Samsung</w:t>
      </w:r>
      <w:r>
        <w:rPr>
          <w:szCs w:val="20"/>
          <w:lang w:val="it-IT"/>
        </w:rPr>
        <w:t xml:space="preserve">, </w:t>
      </w:r>
      <w:r w:rsidRPr="00630AA8">
        <w:rPr>
          <w:szCs w:val="20"/>
          <w:lang w:val="it-IT"/>
        </w:rPr>
        <w:t>Nanjing, China, May 23 – 27, 2016</w:t>
      </w:r>
      <w:r>
        <w:rPr>
          <w:szCs w:val="20"/>
          <w:lang w:val="it-IT"/>
        </w:rPr>
        <w:t>.</w:t>
      </w:r>
      <w:bookmarkEnd w:id="18"/>
    </w:p>
    <w:p w:rsidR="00065FB2" w:rsidRDefault="00065FB2" w:rsidP="00FE3981">
      <w:pPr>
        <w:numPr>
          <w:ilvl w:val="0"/>
          <w:numId w:val="2"/>
        </w:numPr>
        <w:jc w:val="both"/>
        <w:rPr>
          <w:szCs w:val="20"/>
          <w:lang w:val="it-IT"/>
        </w:rPr>
      </w:pPr>
      <w:bookmarkStart w:id="19" w:name="_Ref450941928"/>
      <w:r w:rsidRPr="00FE3981">
        <w:rPr>
          <w:szCs w:val="20"/>
          <w:lang w:val="it-IT"/>
        </w:rPr>
        <w:t>P. Nobles; F. Halsall, “Delay spread and received power measurements within a building at 2 GHz, 5 GHz and 17 GHz”, Tenth International Conference on</w:t>
      </w:r>
      <w:r w:rsidR="00FE3981" w:rsidRPr="00FE3981">
        <w:rPr>
          <w:szCs w:val="20"/>
          <w:lang w:val="it-IT"/>
        </w:rPr>
        <w:t xml:space="preserve"> Antennas and Propagation, </w:t>
      </w:r>
      <w:r w:rsidR="00FE3981">
        <w:rPr>
          <w:szCs w:val="20"/>
          <w:lang w:val="it-IT"/>
        </w:rPr>
        <w:t>Vol 2</w:t>
      </w:r>
      <w:r w:rsidR="00FE3981" w:rsidRPr="00FE3981">
        <w:rPr>
          <w:szCs w:val="20"/>
          <w:lang w:val="it-IT"/>
        </w:rPr>
        <w:t xml:space="preserve">, </w:t>
      </w:r>
      <w:r w:rsidR="00FE3981">
        <w:rPr>
          <w:szCs w:val="20"/>
          <w:lang w:val="it-IT"/>
        </w:rPr>
        <w:t>1997, pp</w:t>
      </w:r>
      <w:r w:rsidR="00FE3981" w:rsidRPr="00FE3981">
        <w:rPr>
          <w:szCs w:val="20"/>
          <w:lang w:val="it-IT"/>
        </w:rPr>
        <w:t xml:space="preserve"> 319 </w:t>
      </w:r>
      <w:r w:rsidR="00FE3981">
        <w:rPr>
          <w:szCs w:val="20"/>
          <w:lang w:val="it-IT"/>
        </w:rPr>
        <w:t>–</w:t>
      </w:r>
      <w:r w:rsidR="00FE3981" w:rsidRPr="00FE3981">
        <w:rPr>
          <w:szCs w:val="20"/>
          <w:lang w:val="it-IT"/>
        </w:rPr>
        <w:t xml:space="preserve"> 324</w:t>
      </w:r>
      <w:r w:rsidR="00FE3981">
        <w:rPr>
          <w:szCs w:val="20"/>
          <w:lang w:val="it-IT"/>
        </w:rPr>
        <w:t>.</w:t>
      </w:r>
      <w:bookmarkEnd w:id="19"/>
    </w:p>
    <w:p w:rsidR="00A0212A" w:rsidRDefault="00A0212A" w:rsidP="00A0212A">
      <w:pPr>
        <w:numPr>
          <w:ilvl w:val="0"/>
          <w:numId w:val="2"/>
        </w:numPr>
        <w:jc w:val="both"/>
        <w:rPr>
          <w:szCs w:val="20"/>
          <w:lang w:val="it-IT"/>
        </w:rPr>
      </w:pPr>
      <w:bookmarkStart w:id="20" w:name="_Ref450942473"/>
      <w:r w:rsidRPr="00A0212A">
        <w:rPr>
          <w:szCs w:val="20"/>
          <w:lang w:val="it-IT"/>
        </w:rPr>
        <w:t>T</w:t>
      </w:r>
      <w:r>
        <w:rPr>
          <w:szCs w:val="20"/>
          <w:lang w:val="it-IT"/>
        </w:rPr>
        <w:t>.</w:t>
      </w:r>
      <w:r w:rsidRPr="00A0212A">
        <w:rPr>
          <w:szCs w:val="20"/>
          <w:lang w:val="it-IT"/>
        </w:rPr>
        <w:t xml:space="preserve"> Jamsa</w:t>
      </w:r>
      <w:r>
        <w:rPr>
          <w:szCs w:val="20"/>
          <w:lang w:val="it-IT"/>
        </w:rPr>
        <w:t>,</w:t>
      </w:r>
      <w:r w:rsidRPr="00A0212A">
        <w:rPr>
          <w:szCs w:val="20"/>
          <w:lang w:val="it-IT"/>
        </w:rPr>
        <w:t xml:space="preserve"> V</w:t>
      </w:r>
      <w:r>
        <w:rPr>
          <w:szCs w:val="20"/>
          <w:lang w:val="it-IT"/>
        </w:rPr>
        <w:t>.</w:t>
      </w:r>
      <w:r w:rsidRPr="00A0212A">
        <w:rPr>
          <w:szCs w:val="20"/>
          <w:lang w:val="it-IT"/>
        </w:rPr>
        <w:t xml:space="preserve"> Hovinen</w:t>
      </w:r>
      <w:r>
        <w:rPr>
          <w:szCs w:val="20"/>
          <w:lang w:val="it-IT"/>
        </w:rPr>
        <w:t xml:space="preserve">, </w:t>
      </w:r>
      <w:r w:rsidRPr="00A0212A">
        <w:rPr>
          <w:szCs w:val="20"/>
          <w:lang w:val="it-IT"/>
        </w:rPr>
        <w:t>A</w:t>
      </w:r>
      <w:r>
        <w:rPr>
          <w:szCs w:val="20"/>
          <w:lang w:val="it-IT"/>
        </w:rPr>
        <w:t>.</w:t>
      </w:r>
      <w:r w:rsidRPr="00A0212A">
        <w:rPr>
          <w:szCs w:val="20"/>
          <w:lang w:val="it-IT"/>
        </w:rPr>
        <w:t xml:space="preserve"> Karjalainen</w:t>
      </w:r>
      <w:r>
        <w:rPr>
          <w:szCs w:val="20"/>
          <w:lang w:val="it-IT"/>
        </w:rPr>
        <w:t xml:space="preserve">, and </w:t>
      </w:r>
      <w:r w:rsidRPr="00A0212A">
        <w:rPr>
          <w:szCs w:val="20"/>
          <w:lang w:val="it-IT"/>
        </w:rPr>
        <w:t>J</w:t>
      </w:r>
      <w:r>
        <w:rPr>
          <w:szCs w:val="20"/>
          <w:lang w:val="it-IT"/>
        </w:rPr>
        <w:t>.</w:t>
      </w:r>
      <w:r w:rsidRPr="00A0212A">
        <w:rPr>
          <w:szCs w:val="20"/>
          <w:lang w:val="it-IT"/>
        </w:rPr>
        <w:t xml:space="preserve"> Iinatti</w:t>
      </w:r>
      <w:r>
        <w:rPr>
          <w:szCs w:val="20"/>
          <w:lang w:val="it-IT"/>
        </w:rPr>
        <w:t>, “</w:t>
      </w:r>
      <w:r w:rsidRPr="00A0212A">
        <w:rPr>
          <w:szCs w:val="20"/>
          <w:lang w:val="it-IT"/>
        </w:rPr>
        <w:t>Frequency Dependency of Delay Spread and Path Loss in Indoor Ultra-Wideband Channels</w:t>
      </w:r>
      <w:r>
        <w:rPr>
          <w:szCs w:val="20"/>
          <w:lang w:val="it-IT"/>
        </w:rPr>
        <w:t xml:space="preserve">”, </w:t>
      </w:r>
      <w:r w:rsidRPr="00A0212A">
        <w:rPr>
          <w:szCs w:val="20"/>
          <w:lang w:val="it-IT"/>
        </w:rPr>
        <w:t>in Proc. IET UWBSTA, 2006</w:t>
      </w:r>
      <w:r>
        <w:rPr>
          <w:szCs w:val="20"/>
          <w:lang w:val="it-IT"/>
        </w:rPr>
        <w:t>.</w:t>
      </w:r>
      <w:bookmarkEnd w:id="20"/>
    </w:p>
    <w:p w:rsidR="00CE3491" w:rsidRDefault="00CE3491" w:rsidP="00CE3491">
      <w:pPr>
        <w:numPr>
          <w:ilvl w:val="0"/>
          <w:numId w:val="2"/>
        </w:numPr>
        <w:jc w:val="both"/>
        <w:rPr>
          <w:szCs w:val="20"/>
          <w:lang w:val="it-IT"/>
        </w:rPr>
      </w:pPr>
      <w:bookmarkStart w:id="21" w:name="_Ref450943517"/>
      <w:r w:rsidRPr="00A02ACE">
        <w:rPr>
          <w:szCs w:val="20"/>
          <w:lang w:val="it-IT"/>
        </w:rPr>
        <w:t>R</w:t>
      </w:r>
      <w:r w:rsidR="00A02ACE">
        <w:rPr>
          <w:szCs w:val="20"/>
          <w:lang w:val="it-IT"/>
        </w:rPr>
        <w:t>.</w:t>
      </w:r>
      <w:r w:rsidRPr="00A02ACE">
        <w:rPr>
          <w:szCs w:val="20"/>
          <w:lang w:val="it-IT"/>
        </w:rPr>
        <w:t xml:space="preserve"> J. Weiler, M</w:t>
      </w:r>
      <w:r w:rsidR="00A02ACE">
        <w:rPr>
          <w:szCs w:val="20"/>
          <w:lang w:val="it-IT"/>
        </w:rPr>
        <w:t>.</w:t>
      </w:r>
      <w:r w:rsidRPr="00A02ACE">
        <w:rPr>
          <w:szCs w:val="20"/>
          <w:lang w:val="it-IT"/>
        </w:rPr>
        <w:t xml:space="preserve"> Peter, T</w:t>
      </w:r>
      <w:r w:rsidR="00A02ACE">
        <w:rPr>
          <w:szCs w:val="20"/>
          <w:lang w:val="it-IT"/>
        </w:rPr>
        <w:t>.</w:t>
      </w:r>
      <w:r w:rsidRPr="00A02ACE">
        <w:rPr>
          <w:szCs w:val="20"/>
          <w:lang w:val="it-IT"/>
        </w:rPr>
        <w:t xml:space="preserve"> Kühne, M</w:t>
      </w:r>
      <w:r w:rsidR="00A02ACE">
        <w:rPr>
          <w:szCs w:val="20"/>
          <w:lang w:val="it-IT"/>
        </w:rPr>
        <w:t>.</w:t>
      </w:r>
      <w:r w:rsidRPr="00A02ACE">
        <w:rPr>
          <w:szCs w:val="20"/>
          <w:lang w:val="it-IT"/>
        </w:rPr>
        <w:t xml:space="preserve"> Wisotzki</w:t>
      </w:r>
      <w:r w:rsidR="00A02ACE">
        <w:rPr>
          <w:szCs w:val="20"/>
          <w:lang w:val="it-IT"/>
        </w:rPr>
        <w:t xml:space="preserve"> </w:t>
      </w:r>
      <w:r w:rsidRPr="00A02ACE">
        <w:rPr>
          <w:szCs w:val="20"/>
          <w:lang w:val="it-IT"/>
        </w:rPr>
        <w:t>and W</w:t>
      </w:r>
      <w:r w:rsidR="00A02ACE">
        <w:rPr>
          <w:szCs w:val="20"/>
          <w:lang w:val="it-IT"/>
        </w:rPr>
        <w:t>.</w:t>
      </w:r>
      <w:r w:rsidRPr="00A02ACE">
        <w:rPr>
          <w:szCs w:val="20"/>
          <w:lang w:val="it-IT"/>
        </w:rPr>
        <w:t xml:space="preserve"> Keusgen, ” Simultaneous millimeter-wave multi-band channel sounding in an urban access scenario”, in Proc. EuCAP 2015</w:t>
      </w:r>
      <w:bookmarkEnd w:id="21"/>
    </w:p>
    <w:p w:rsidR="00281DE2" w:rsidRDefault="00281DE2" w:rsidP="00281DE2">
      <w:pPr>
        <w:numPr>
          <w:ilvl w:val="0"/>
          <w:numId w:val="2"/>
        </w:numPr>
        <w:jc w:val="both"/>
        <w:rPr>
          <w:szCs w:val="20"/>
          <w:lang w:val="it-IT"/>
        </w:rPr>
      </w:pPr>
      <w:bookmarkStart w:id="22" w:name="_Ref450945810"/>
      <w:r w:rsidRPr="00281DE2">
        <w:rPr>
          <w:szCs w:val="20"/>
          <w:lang w:val="it-IT"/>
        </w:rPr>
        <w:t>S. Salous, Y. Gao, “Wideband Measurements in Indoor and Outdoor</w:t>
      </w:r>
      <w:r>
        <w:rPr>
          <w:szCs w:val="20"/>
          <w:lang w:val="it-IT"/>
        </w:rPr>
        <w:t xml:space="preserve"> </w:t>
      </w:r>
      <w:r w:rsidRPr="00281DE2">
        <w:rPr>
          <w:szCs w:val="20"/>
          <w:lang w:val="it-IT"/>
        </w:rPr>
        <w:t>Environments in the 30 GHz and 60 GHz Bands”</w:t>
      </w:r>
      <w:r>
        <w:rPr>
          <w:szCs w:val="20"/>
          <w:lang w:val="it-IT"/>
        </w:rPr>
        <w:t>, in Proc. EuCAP 2016.</w:t>
      </w:r>
      <w:bookmarkEnd w:id="22"/>
    </w:p>
    <w:p w:rsidR="00A5115F" w:rsidRDefault="00A5115F" w:rsidP="00A5115F">
      <w:pPr>
        <w:numPr>
          <w:ilvl w:val="0"/>
          <w:numId w:val="2"/>
        </w:numPr>
        <w:jc w:val="both"/>
        <w:rPr>
          <w:szCs w:val="20"/>
          <w:lang w:val="it-IT"/>
        </w:rPr>
      </w:pPr>
      <w:bookmarkStart w:id="23" w:name="_Ref450948326"/>
      <w:r w:rsidRPr="00A5115F">
        <w:rPr>
          <w:szCs w:val="20"/>
          <w:lang w:val="it-IT"/>
        </w:rPr>
        <w:t>R1-162311</w:t>
      </w:r>
      <w:r>
        <w:rPr>
          <w:szCs w:val="20"/>
          <w:lang w:val="it-IT"/>
        </w:rPr>
        <w:t>, “</w:t>
      </w:r>
      <w:r w:rsidRPr="00A5115F">
        <w:rPr>
          <w:szCs w:val="20"/>
          <w:lang w:val="it-IT"/>
        </w:rPr>
        <w:t>Analysis on measurement data and proposed modeling</w:t>
      </w:r>
      <w:r>
        <w:rPr>
          <w:szCs w:val="20"/>
          <w:lang w:val="it-IT"/>
        </w:rPr>
        <w:t xml:space="preserve">”, </w:t>
      </w:r>
      <w:r w:rsidRPr="00A5115F">
        <w:rPr>
          <w:szCs w:val="20"/>
          <w:lang w:val="it-IT"/>
        </w:rPr>
        <w:t>CATT</w:t>
      </w:r>
      <w:r>
        <w:rPr>
          <w:szCs w:val="20"/>
          <w:lang w:val="it-IT"/>
        </w:rPr>
        <w:t xml:space="preserve">, </w:t>
      </w:r>
      <w:r w:rsidRPr="003F5DDC">
        <w:rPr>
          <w:szCs w:val="20"/>
          <w:lang w:val="it-IT"/>
        </w:rPr>
        <w:t>Busan, Korea 11th - 15th April 2016</w:t>
      </w:r>
      <w:r>
        <w:rPr>
          <w:szCs w:val="20"/>
          <w:lang w:val="it-IT"/>
        </w:rPr>
        <w:t>.</w:t>
      </w:r>
      <w:bookmarkEnd w:id="23"/>
    </w:p>
    <w:p w:rsidR="00A5115F" w:rsidRPr="00F420C4" w:rsidRDefault="00F420C4" w:rsidP="00F420C4">
      <w:pPr>
        <w:numPr>
          <w:ilvl w:val="0"/>
          <w:numId w:val="2"/>
        </w:numPr>
        <w:jc w:val="both"/>
        <w:rPr>
          <w:szCs w:val="20"/>
          <w:lang w:val="it-IT"/>
        </w:rPr>
      </w:pPr>
      <w:bookmarkStart w:id="24" w:name="_Ref450948736"/>
      <w:r>
        <w:t>R1-161098, “</w:t>
      </w:r>
      <w:r w:rsidRPr="00F420C4">
        <w:t>Concurrent indoor propagation measurements at 2.9, 28 and 60 GHz bands</w:t>
      </w:r>
      <w:r>
        <w:t>”, St Julian’s, Malta, February 15–19, 2016.</w:t>
      </w:r>
      <w:bookmarkEnd w:id="24"/>
    </w:p>
    <w:p w:rsidR="00F420C4" w:rsidRPr="00F420C4" w:rsidRDefault="00F420C4" w:rsidP="00F420C4">
      <w:pPr>
        <w:numPr>
          <w:ilvl w:val="0"/>
          <w:numId w:val="2"/>
        </w:numPr>
        <w:jc w:val="both"/>
        <w:rPr>
          <w:szCs w:val="20"/>
          <w:lang w:val="it-IT"/>
        </w:rPr>
      </w:pPr>
      <w:bookmarkStart w:id="25" w:name="_Ref450948738"/>
      <w:r w:rsidRPr="00F420C4">
        <w:rPr>
          <w:szCs w:val="20"/>
          <w:lang w:val="it-IT"/>
        </w:rPr>
        <w:t>R1-161665</w:t>
      </w:r>
      <w:r>
        <w:rPr>
          <w:szCs w:val="20"/>
          <w:lang w:val="it-IT"/>
        </w:rPr>
        <w:t>, “</w:t>
      </w:r>
      <w:r w:rsidRPr="00F420C4">
        <w:rPr>
          <w:szCs w:val="20"/>
          <w:lang w:val="it-IT"/>
        </w:rPr>
        <w:t>Delay spread for Indoor office, Outdoor open square, Street Canyon and Shopping Mall</w:t>
      </w:r>
      <w:r>
        <w:rPr>
          <w:szCs w:val="20"/>
          <w:lang w:val="it-IT"/>
        </w:rPr>
        <w:t xml:space="preserve">”, </w:t>
      </w:r>
      <w:r w:rsidRPr="00F420C4">
        <w:rPr>
          <w:szCs w:val="20"/>
          <w:lang w:val="it-IT"/>
        </w:rPr>
        <w:t>Qualcomm Incorporated</w:t>
      </w:r>
      <w:r>
        <w:rPr>
          <w:szCs w:val="20"/>
          <w:lang w:val="it-IT"/>
        </w:rPr>
        <w:t xml:space="preserve">, </w:t>
      </w:r>
      <w:r>
        <w:t>Ljubljana</w:t>
      </w:r>
      <w:r w:rsidRPr="001142F3">
        <w:t xml:space="preserve">, </w:t>
      </w:r>
      <w:r>
        <w:t>Slovenia</w:t>
      </w:r>
      <w:r w:rsidRPr="001142F3">
        <w:t xml:space="preserve">, </w:t>
      </w:r>
      <w:r>
        <w:t>14</w:t>
      </w:r>
      <w:r w:rsidRPr="00F53443">
        <w:rPr>
          <w:vertAlign w:val="superscript"/>
        </w:rPr>
        <w:t>th</w:t>
      </w:r>
      <w:r w:rsidRPr="001142F3">
        <w:t xml:space="preserve"> – </w:t>
      </w:r>
      <w:r>
        <w:t>16</w:t>
      </w:r>
      <w:r w:rsidRPr="007D0704">
        <w:rPr>
          <w:vertAlign w:val="superscript"/>
        </w:rPr>
        <w:t>th</w:t>
      </w:r>
      <w:r>
        <w:t xml:space="preserve"> March 2016.</w:t>
      </w:r>
      <w:bookmarkEnd w:id="25"/>
    </w:p>
    <w:p w:rsidR="00F420C4" w:rsidRDefault="00F420C4" w:rsidP="00F420C4">
      <w:pPr>
        <w:numPr>
          <w:ilvl w:val="0"/>
          <w:numId w:val="2"/>
        </w:numPr>
        <w:jc w:val="both"/>
        <w:rPr>
          <w:szCs w:val="20"/>
          <w:lang w:val="it-IT"/>
        </w:rPr>
      </w:pPr>
      <w:bookmarkStart w:id="26" w:name="_Ref450948739"/>
      <w:r w:rsidRPr="00F420C4">
        <w:rPr>
          <w:szCs w:val="20"/>
          <w:lang w:val="it-IT"/>
        </w:rPr>
        <w:t>R1-162232</w:t>
      </w:r>
      <w:r>
        <w:rPr>
          <w:szCs w:val="20"/>
          <w:lang w:val="it-IT"/>
        </w:rPr>
        <w:t>, “</w:t>
      </w:r>
      <w:r w:rsidRPr="00F420C4">
        <w:rPr>
          <w:szCs w:val="20"/>
          <w:lang w:val="it-IT"/>
        </w:rPr>
        <w:t>Indoor and outdoor measurements on frequency-dependent delay spreads</w:t>
      </w:r>
      <w:r>
        <w:rPr>
          <w:szCs w:val="20"/>
          <w:lang w:val="it-IT"/>
        </w:rPr>
        <w:t xml:space="preserve">”, </w:t>
      </w:r>
      <w:r w:rsidRPr="00F420C4">
        <w:rPr>
          <w:szCs w:val="20"/>
          <w:lang w:val="it-IT"/>
        </w:rPr>
        <w:tab/>
        <w:t>Qualcomm Inc.</w:t>
      </w:r>
      <w:r>
        <w:rPr>
          <w:szCs w:val="20"/>
          <w:lang w:val="it-IT"/>
        </w:rPr>
        <w:t xml:space="preserve">, </w:t>
      </w:r>
      <w:r w:rsidRPr="003F5DDC">
        <w:rPr>
          <w:szCs w:val="20"/>
          <w:lang w:val="it-IT"/>
        </w:rPr>
        <w:t>Busan, Korea 11th - 15th April 2016</w:t>
      </w:r>
      <w:r>
        <w:rPr>
          <w:szCs w:val="20"/>
          <w:lang w:val="it-IT"/>
        </w:rPr>
        <w:t>.</w:t>
      </w:r>
      <w:bookmarkEnd w:id="26"/>
    </w:p>
    <w:p w:rsidR="00AE0917" w:rsidRDefault="00F822F1" w:rsidP="00F822F1">
      <w:pPr>
        <w:numPr>
          <w:ilvl w:val="0"/>
          <w:numId w:val="2"/>
        </w:numPr>
        <w:jc w:val="both"/>
        <w:rPr>
          <w:szCs w:val="20"/>
          <w:lang w:val="it-IT"/>
        </w:rPr>
      </w:pPr>
      <w:bookmarkStart w:id="27" w:name="_Ref450951777"/>
      <w:r>
        <w:rPr>
          <w:szCs w:val="20"/>
          <w:lang w:val="it-IT"/>
        </w:rPr>
        <w:t>R1-162572, “</w:t>
      </w:r>
      <w:r w:rsidRPr="00F822F1">
        <w:rPr>
          <w:szCs w:val="20"/>
          <w:lang w:val="it-IT"/>
        </w:rPr>
        <w:t>Refinement on UMa LSP</w:t>
      </w:r>
      <w:r>
        <w:rPr>
          <w:szCs w:val="20"/>
          <w:lang w:val="it-IT"/>
        </w:rPr>
        <w:t xml:space="preserve">”, </w:t>
      </w:r>
      <w:r w:rsidRPr="00F822F1">
        <w:rPr>
          <w:szCs w:val="20"/>
          <w:lang w:val="it-IT"/>
        </w:rPr>
        <w:tab/>
        <w:t>Nokia, Samsung, AT&amp;T, CMCC, Ericsson, Huawei, HiSilicon, Intel, KT Corporation, NTT DOCOMO, Qualcomm</w:t>
      </w:r>
      <w:r>
        <w:rPr>
          <w:szCs w:val="20"/>
          <w:lang w:val="it-IT"/>
        </w:rPr>
        <w:t xml:space="preserve">, </w:t>
      </w:r>
      <w:r w:rsidRPr="003F5DDC">
        <w:rPr>
          <w:szCs w:val="20"/>
          <w:lang w:val="it-IT"/>
        </w:rPr>
        <w:t>Busan, Korea 11th - 15th April 2016</w:t>
      </w:r>
      <w:r>
        <w:rPr>
          <w:szCs w:val="20"/>
          <w:lang w:val="it-IT"/>
        </w:rPr>
        <w:t>.</w:t>
      </w:r>
      <w:bookmarkEnd w:id="27"/>
    </w:p>
    <w:p w:rsidR="004235C3" w:rsidRDefault="004235C3" w:rsidP="004235C3">
      <w:pPr>
        <w:numPr>
          <w:ilvl w:val="0"/>
          <w:numId w:val="2"/>
        </w:numPr>
        <w:jc w:val="both"/>
        <w:rPr>
          <w:szCs w:val="20"/>
          <w:lang w:val="it-IT"/>
        </w:rPr>
      </w:pPr>
      <w:bookmarkStart w:id="28" w:name="_Ref450951780"/>
      <w:r w:rsidRPr="004235C3">
        <w:rPr>
          <w:szCs w:val="20"/>
          <w:lang w:val="it-IT"/>
        </w:rPr>
        <w:t>R1-162718</w:t>
      </w:r>
      <w:r>
        <w:rPr>
          <w:szCs w:val="20"/>
          <w:lang w:val="it-IT"/>
        </w:rPr>
        <w:t>, “</w:t>
      </w:r>
      <w:r w:rsidRPr="004235C3">
        <w:rPr>
          <w:szCs w:val="20"/>
          <w:lang w:val="it-IT"/>
        </w:rPr>
        <w:t>Updated joint proposal on large-scale and small-scale parameters for UMi scenario</w:t>
      </w:r>
      <w:r>
        <w:rPr>
          <w:szCs w:val="20"/>
          <w:lang w:val="it-IT"/>
        </w:rPr>
        <w:t xml:space="preserve">”, </w:t>
      </w:r>
      <w:r w:rsidRPr="004235C3">
        <w:rPr>
          <w:szCs w:val="20"/>
          <w:lang w:val="it-IT"/>
        </w:rPr>
        <w:t>Samsung, AT&amp;T, CMCC, Ericsson, Huawei, HiSilicon, Intel, KT Corporation, Nokia Networks, NTT DOCOMO, Qualcomm, ETRI</w:t>
      </w:r>
      <w:r>
        <w:rPr>
          <w:szCs w:val="20"/>
          <w:lang w:val="it-IT"/>
        </w:rPr>
        <w:t xml:space="preserve">, </w:t>
      </w:r>
      <w:r w:rsidRPr="003F5DDC">
        <w:rPr>
          <w:szCs w:val="20"/>
          <w:lang w:val="it-IT"/>
        </w:rPr>
        <w:t>Busan, Korea 11th - 15th April 2016</w:t>
      </w:r>
      <w:r>
        <w:rPr>
          <w:szCs w:val="20"/>
          <w:lang w:val="it-IT"/>
        </w:rPr>
        <w:t>.</w:t>
      </w:r>
      <w:bookmarkEnd w:id="28"/>
    </w:p>
    <w:p w:rsidR="004235C3" w:rsidRPr="00F822F1" w:rsidRDefault="004235C3" w:rsidP="004235C3">
      <w:pPr>
        <w:numPr>
          <w:ilvl w:val="0"/>
          <w:numId w:val="2"/>
        </w:numPr>
        <w:jc w:val="both"/>
        <w:rPr>
          <w:szCs w:val="20"/>
          <w:lang w:val="it-IT"/>
        </w:rPr>
      </w:pPr>
      <w:bookmarkStart w:id="29" w:name="_Ref450951782"/>
      <w:r w:rsidRPr="004235C3">
        <w:rPr>
          <w:szCs w:val="20"/>
          <w:lang w:val="it-IT"/>
        </w:rPr>
        <w:lastRenderedPageBreak/>
        <w:t>R1-163472</w:t>
      </w:r>
      <w:r>
        <w:rPr>
          <w:szCs w:val="20"/>
          <w:lang w:val="it-IT"/>
        </w:rPr>
        <w:t>, “</w:t>
      </w:r>
      <w:r w:rsidRPr="004235C3">
        <w:rPr>
          <w:szCs w:val="20"/>
          <w:lang w:val="it-IT"/>
        </w:rPr>
        <w:t>Large-scale and small-scale channel modeling for indoor hotspot</w:t>
      </w:r>
      <w:r>
        <w:rPr>
          <w:szCs w:val="20"/>
          <w:lang w:val="it-IT"/>
        </w:rPr>
        <w:t xml:space="preserve">”, </w:t>
      </w:r>
      <w:r w:rsidRPr="004235C3">
        <w:rPr>
          <w:szCs w:val="20"/>
          <w:lang w:val="it-IT"/>
        </w:rPr>
        <w:t>Huawei, HiSilicon, AT&amp;T, CMCC, Ericsson, Intel, KT Corporation, Nokia, NTT DOCOMO, Qualcomm, Samsung, ETRI, CATT</w:t>
      </w:r>
      <w:r>
        <w:rPr>
          <w:szCs w:val="20"/>
          <w:lang w:val="it-IT"/>
        </w:rPr>
        <w:t xml:space="preserve">, </w:t>
      </w:r>
      <w:r w:rsidRPr="003F5DDC">
        <w:rPr>
          <w:szCs w:val="20"/>
          <w:lang w:val="it-IT"/>
        </w:rPr>
        <w:t>Busan, Korea 11th - 15th April 2016</w:t>
      </w:r>
      <w:r>
        <w:rPr>
          <w:szCs w:val="20"/>
          <w:lang w:val="it-IT"/>
        </w:rPr>
        <w:t>.</w:t>
      </w:r>
      <w:bookmarkEnd w:id="29"/>
    </w:p>
    <w:p w:rsidR="00BA2CDD" w:rsidRPr="00461DD9" w:rsidRDefault="00BA2CDD" w:rsidP="00BA2CDD">
      <w:pPr>
        <w:jc w:val="both"/>
        <w:rPr>
          <w:szCs w:val="20"/>
          <w:lang w:val="it-IT"/>
        </w:rPr>
      </w:pPr>
    </w:p>
    <w:sectPr w:rsidR="00BA2CDD" w:rsidRPr="00461DD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28E" w:rsidRDefault="009A028E">
      <w:r>
        <w:separator/>
      </w:r>
    </w:p>
  </w:endnote>
  <w:endnote w:type="continuationSeparator" w:id="0">
    <w:p w:rsidR="009A028E" w:rsidRDefault="009A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DF" w:rsidRDefault="00D249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DF" w:rsidRDefault="00D249D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DF" w:rsidRDefault="00D249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28E" w:rsidRDefault="009A028E">
      <w:r>
        <w:separator/>
      </w:r>
    </w:p>
  </w:footnote>
  <w:footnote w:type="continuationSeparator" w:id="0">
    <w:p w:rsidR="009A028E" w:rsidRDefault="009A0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DF" w:rsidRDefault="00D249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DF" w:rsidRDefault="00D249DF" w:rsidP="00417FDA">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9DF" w:rsidRDefault="00D249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2">
    <w:nsid w:val="20300F86"/>
    <w:multiLevelType w:val="hybridMultilevel"/>
    <w:tmpl w:val="1CFA2274"/>
    <w:lvl w:ilvl="0" w:tplc="0809000F">
      <w:start w:val="1"/>
      <w:numFmt w:val="decimal"/>
      <w:lvlText w:val="%1."/>
      <w:lvlJc w:val="left"/>
      <w:pPr>
        <w:ind w:left="770" w:hanging="360"/>
      </w:pPr>
      <w:rPr>
        <w:rFonts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E120515"/>
    <w:multiLevelType w:val="hybridMultilevel"/>
    <w:tmpl w:val="D15E8EE2"/>
    <w:lvl w:ilvl="0" w:tplc="87DC9EE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3"/>
  </w:num>
  <w:num w:numId="3">
    <w:abstractNumId w:val="0"/>
  </w:num>
  <w:num w:numId="4">
    <w:abstractNumId w:val="5"/>
  </w:num>
  <w:num w:numId="5">
    <w:abstractNumId w:val="7"/>
  </w:num>
  <w:num w:numId="6">
    <w:abstractNumId w:val="1"/>
  </w:num>
  <w:num w:numId="7">
    <w:abstractNumId w:val="4"/>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5440E"/>
    <w:rsid w:val="00065FB2"/>
    <w:rsid w:val="0006723B"/>
    <w:rsid w:val="000839F9"/>
    <w:rsid w:val="000A258F"/>
    <w:rsid w:val="000C6BC2"/>
    <w:rsid w:val="000E66ED"/>
    <w:rsid w:val="00112E18"/>
    <w:rsid w:val="00141448"/>
    <w:rsid w:val="00165AA0"/>
    <w:rsid w:val="0019051E"/>
    <w:rsid w:val="001B7401"/>
    <w:rsid w:val="001C4859"/>
    <w:rsid w:val="0021013F"/>
    <w:rsid w:val="00281DE2"/>
    <w:rsid w:val="00290099"/>
    <w:rsid w:val="00337822"/>
    <w:rsid w:val="003875A3"/>
    <w:rsid w:val="003C4C18"/>
    <w:rsid w:val="003F5DDC"/>
    <w:rsid w:val="00417FDA"/>
    <w:rsid w:val="004235C3"/>
    <w:rsid w:val="00423EC1"/>
    <w:rsid w:val="00443918"/>
    <w:rsid w:val="00453575"/>
    <w:rsid w:val="00513735"/>
    <w:rsid w:val="005535D0"/>
    <w:rsid w:val="00562776"/>
    <w:rsid w:val="00582543"/>
    <w:rsid w:val="005A6712"/>
    <w:rsid w:val="005C2C75"/>
    <w:rsid w:val="005F584A"/>
    <w:rsid w:val="006064BE"/>
    <w:rsid w:val="00630AA8"/>
    <w:rsid w:val="00681C63"/>
    <w:rsid w:val="006A286A"/>
    <w:rsid w:val="007130FD"/>
    <w:rsid w:val="00794201"/>
    <w:rsid w:val="007E1155"/>
    <w:rsid w:val="00812575"/>
    <w:rsid w:val="00834DE7"/>
    <w:rsid w:val="00845E19"/>
    <w:rsid w:val="00886A56"/>
    <w:rsid w:val="008A7666"/>
    <w:rsid w:val="008C639D"/>
    <w:rsid w:val="008F6929"/>
    <w:rsid w:val="00935D22"/>
    <w:rsid w:val="00965EF5"/>
    <w:rsid w:val="009A028E"/>
    <w:rsid w:val="009A6BB8"/>
    <w:rsid w:val="009B2E48"/>
    <w:rsid w:val="009D5027"/>
    <w:rsid w:val="00A0212A"/>
    <w:rsid w:val="00A02ACE"/>
    <w:rsid w:val="00A21514"/>
    <w:rsid w:val="00A25898"/>
    <w:rsid w:val="00A46047"/>
    <w:rsid w:val="00A5115F"/>
    <w:rsid w:val="00A65E2B"/>
    <w:rsid w:val="00A81AA1"/>
    <w:rsid w:val="00AA13EF"/>
    <w:rsid w:val="00AC33FF"/>
    <w:rsid w:val="00AC4DBC"/>
    <w:rsid w:val="00AD5266"/>
    <w:rsid w:val="00AE0917"/>
    <w:rsid w:val="00AF4093"/>
    <w:rsid w:val="00AF76E8"/>
    <w:rsid w:val="00B03A33"/>
    <w:rsid w:val="00B1745E"/>
    <w:rsid w:val="00B368D9"/>
    <w:rsid w:val="00B46F77"/>
    <w:rsid w:val="00B73B25"/>
    <w:rsid w:val="00BA2CDD"/>
    <w:rsid w:val="00C078C2"/>
    <w:rsid w:val="00C10B9B"/>
    <w:rsid w:val="00C1560A"/>
    <w:rsid w:val="00C61496"/>
    <w:rsid w:val="00C93774"/>
    <w:rsid w:val="00C96F35"/>
    <w:rsid w:val="00CC1489"/>
    <w:rsid w:val="00CD0DD6"/>
    <w:rsid w:val="00CE28B2"/>
    <w:rsid w:val="00CE3491"/>
    <w:rsid w:val="00CF0C79"/>
    <w:rsid w:val="00CF67BE"/>
    <w:rsid w:val="00D03119"/>
    <w:rsid w:val="00D249DF"/>
    <w:rsid w:val="00D64311"/>
    <w:rsid w:val="00D67D13"/>
    <w:rsid w:val="00D7691A"/>
    <w:rsid w:val="00DA110D"/>
    <w:rsid w:val="00DE5F83"/>
    <w:rsid w:val="00E63D88"/>
    <w:rsid w:val="00E956F8"/>
    <w:rsid w:val="00F129CB"/>
    <w:rsid w:val="00F403B5"/>
    <w:rsid w:val="00F420C4"/>
    <w:rsid w:val="00F822F1"/>
    <w:rsid w:val="00FC204A"/>
    <w:rsid w:val="00FD43FF"/>
    <w:rsid w:val="00FE37CA"/>
    <w:rsid w:val="00FE3981"/>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character" w:styleId="Hyperlink">
    <w:name w:val="Hyperlink"/>
    <w:basedOn w:val="DefaultParagraphFont"/>
    <w:uiPriority w:val="99"/>
    <w:unhideWhenUsed/>
    <w:rsid w:val="00C96F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character" w:styleId="Hyperlink">
    <w:name w:val="Hyperlink"/>
    <w:basedOn w:val="DefaultParagraphFont"/>
    <w:uiPriority w:val="99"/>
    <w:unhideWhenUsed/>
    <w:rsid w:val="00C96F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268344">
      <w:bodyDiv w:val="1"/>
      <w:marLeft w:val="0"/>
      <w:marRight w:val="0"/>
      <w:marTop w:val="0"/>
      <w:marBottom w:val="0"/>
      <w:divBdr>
        <w:top w:val="none" w:sz="0" w:space="0" w:color="auto"/>
        <w:left w:val="none" w:sz="0" w:space="0" w:color="auto"/>
        <w:bottom w:val="none" w:sz="0" w:space="0" w:color="auto"/>
        <w:right w:val="none" w:sz="0" w:space="0" w:color="auto"/>
      </w:divBdr>
    </w:div>
    <w:div w:id="668026436">
      <w:bodyDiv w:val="1"/>
      <w:marLeft w:val="0"/>
      <w:marRight w:val="0"/>
      <w:marTop w:val="0"/>
      <w:marBottom w:val="0"/>
      <w:divBdr>
        <w:top w:val="none" w:sz="0" w:space="0" w:color="auto"/>
        <w:left w:val="none" w:sz="0" w:space="0" w:color="auto"/>
        <w:bottom w:val="none" w:sz="0" w:space="0" w:color="auto"/>
        <w:right w:val="none" w:sz="0" w:space="0" w:color="auto"/>
      </w:divBdr>
      <w:divsChild>
        <w:div w:id="138768555">
          <w:marLeft w:val="0"/>
          <w:marRight w:val="0"/>
          <w:marTop w:val="0"/>
          <w:marBottom w:val="0"/>
          <w:divBdr>
            <w:top w:val="none" w:sz="0" w:space="0" w:color="auto"/>
            <w:left w:val="none" w:sz="0" w:space="0" w:color="auto"/>
            <w:bottom w:val="none" w:sz="0" w:space="0" w:color="auto"/>
            <w:right w:val="none" w:sz="0" w:space="0" w:color="auto"/>
          </w:divBdr>
        </w:div>
        <w:div w:id="71582251">
          <w:marLeft w:val="0"/>
          <w:marRight w:val="0"/>
          <w:marTop w:val="0"/>
          <w:marBottom w:val="0"/>
          <w:divBdr>
            <w:top w:val="none" w:sz="0" w:space="0" w:color="auto"/>
            <w:left w:val="none" w:sz="0" w:space="0" w:color="auto"/>
            <w:bottom w:val="none" w:sz="0" w:space="0" w:color="auto"/>
            <w:right w:val="none" w:sz="0" w:space="0" w:color="auto"/>
          </w:divBdr>
        </w:div>
        <w:div w:id="166866814">
          <w:marLeft w:val="0"/>
          <w:marRight w:val="0"/>
          <w:marTop w:val="0"/>
          <w:marBottom w:val="0"/>
          <w:divBdr>
            <w:top w:val="none" w:sz="0" w:space="0" w:color="auto"/>
            <w:left w:val="none" w:sz="0" w:space="0" w:color="auto"/>
            <w:bottom w:val="none" w:sz="0" w:space="0" w:color="auto"/>
            <w:right w:val="none" w:sz="0" w:space="0" w:color="auto"/>
          </w:divBdr>
        </w:div>
        <w:div w:id="159394497">
          <w:marLeft w:val="0"/>
          <w:marRight w:val="0"/>
          <w:marTop w:val="0"/>
          <w:marBottom w:val="0"/>
          <w:divBdr>
            <w:top w:val="none" w:sz="0" w:space="0" w:color="auto"/>
            <w:left w:val="none" w:sz="0" w:space="0" w:color="auto"/>
            <w:bottom w:val="none" w:sz="0" w:space="0" w:color="auto"/>
            <w:right w:val="none" w:sz="0" w:space="0" w:color="auto"/>
          </w:divBdr>
        </w:div>
        <w:div w:id="973557991">
          <w:marLeft w:val="0"/>
          <w:marRight w:val="0"/>
          <w:marTop w:val="0"/>
          <w:marBottom w:val="0"/>
          <w:divBdr>
            <w:top w:val="none" w:sz="0" w:space="0" w:color="auto"/>
            <w:left w:val="none" w:sz="0" w:space="0" w:color="auto"/>
            <w:bottom w:val="none" w:sz="0" w:space="0" w:color="auto"/>
            <w:right w:val="none" w:sz="0" w:space="0" w:color="auto"/>
          </w:divBdr>
        </w:div>
        <w:div w:id="1495074514">
          <w:marLeft w:val="0"/>
          <w:marRight w:val="0"/>
          <w:marTop w:val="0"/>
          <w:marBottom w:val="0"/>
          <w:divBdr>
            <w:top w:val="none" w:sz="0" w:space="0" w:color="auto"/>
            <w:left w:val="none" w:sz="0" w:space="0" w:color="auto"/>
            <w:bottom w:val="none" w:sz="0" w:space="0" w:color="auto"/>
            <w:right w:val="none" w:sz="0" w:space="0" w:color="auto"/>
          </w:divBdr>
        </w:div>
        <w:div w:id="870460591">
          <w:marLeft w:val="0"/>
          <w:marRight w:val="0"/>
          <w:marTop w:val="0"/>
          <w:marBottom w:val="0"/>
          <w:divBdr>
            <w:top w:val="none" w:sz="0" w:space="0" w:color="auto"/>
            <w:left w:val="none" w:sz="0" w:space="0" w:color="auto"/>
            <w:bottom w:val="none" w:sz="0" w:space="0" w:color="auto"/>
            <w:right w:val="none" w:sz="0" w:space="0" w:color="auto"/>
          </w:divBdr>
        </w:div>
        <w:div w:id="1216353120">
          <w:marLeft w:val="0"/>
          <w:marRight w:val="0"/>
          <w:marTop w:val="0"/>
          <w:marBottom w:val="0"/>
          <w:divBdr>
            <w:top w:val="none" w:sz="0" w:space="0" w:color="auto"/>
            <w:left w:val="none" w:sz="0" w:space="0" w:color="auto"/>
            <w:bottom w:val="none" w:sz="0" w:space="0" w:color="auto"/>
            <w:right w:val="none" w:sz="0" w:space="0" w:color="auto"/>
          </w:divBdr>
        </w:div>
        <w:div w:id="1716615385">
          <w:marLeft w:val="0"/>
          <w:marRight w:val="0"/>
          <w:marTop w:val="0"/>
          <w:marBottom w:val="0"/>
          <w:divBdr>
            <w:top w:val="none" w:sz="0" w:space="0" w:color="auto"/>
            <w:left w:val="none" w:sz="0" w:space="0" w:color="auto"/>
            <w:bottom w:val="none" w:sz="0" w:space="0" w:color="auto"/>
            <w:right w:val="none" w:sz="0" w:space="0" w:color="auto"/>
          </w:divBdr>
        </w:div>
        <w:div w:id="1444112528">
          <w:marLeft w:val="0"/>
          <w:marRight w:val="0"/>
          <w:marTop w:val="0"/>
          <w:marBottom w:val="0"/>
          <w:divBdr>
            <w:top w:val="none" w:sz="0" w:space="0" w:color="auto"/>
            <w:left w:val="none" w:sz="0" w:space="0" w:color="auto"/>
            <w:bottom w:val="none" w:sz="0" w:space="0" w:color="auto"/>
            <w:right w:val="none" w:sz="0" w:space="0" w:color="auto"/>
          </w:divBdr>
        </w:div>
        <w:div w:id="56630012">
          <w:marLeft w:val="0"/>
          <w:marRight w:val="0"/>
          <w:marTop w:val="0"/>
          <w:marBottom w:val="0"/>
          <w:divBdr>
            <w:top w:val="none" w:sz="0" w:space="0" w:color="auto"/>
            <w:left w:val="none" w:sz="0" w:space="0" w:color="auto"/>
            <w:bottom w:val="none" w:sz="0" w:space="0" w:color="auto"/>
            <w:right w:val="none" w:sz="0" w:space="0" w:color="auto"/>
          </w:divBdr>
        </w:div>
        <w:div w:id="1371296452">
          <w:marLeft w:val="0"/>
          <w:marRight w:val="0"/>
          <w:marTop w:val="0"/>
          <w:marBottom w:val="0"/>
          <w:divBdr>
            <w:top w:val="none" w:sz="0" w:space="0" w:color="auto"/>
            <w:left w:val="none" w:sz="0" w:space="0" w:color="auto"/>
            <w:bottom w:val="none" w:sz="0" w:space="0" w:color="auto"/>
            <w:right w:val="none" w:sz="0" w:space="0" w:color="auto"/>
          </w:divBdr>
        </w:div>
        <w:div w:id="1051609319">
          <w:marLeft w:val="0"/>
          <w:marRight w:val="0"/>
          <w:marTop w:val="0"/>
          <w:marBottom w:val="0"/>
          <w:divBdr>
            <w:top w:val="none" w:sz="0" w:space="0" w:color="auto"/>
            <w:left w:val="none" w:sz="0" w:space="0" w:color="auto"/>
            <w:bottom w:val="none" w:sz="0" w:space="0" w:color="auto"/>
            <w:right w:val="none" w:sz="0" w:space="0" w:color="auto"/>
          </w:divBdr>
        </w:div>
        <w:div w:id="1822773598">
          <w:marLeft w:val="0"/>
          <w:marRight w:val="0"/>
          <w:marTop w:val="0"/>
          <w:marBottom w:val="0"/>
          <w:divBdr>
            <w:top w:val="none" w:sz="0" w:space="0" w:color="auto"/>
            <w:left w:val="none" w:sz="0" w:space="0" w:color="auto"/>
            <w:bottom w:val="none" w:sz="0" w:space="0" w:color="auto"/>
            <w:right w:val="none" w:sz="0" w:space="0" w:color="auto"/>
          </w:divBdr>
        </w:div>
        <w:div w:id="565605211">
          <w:marLeft w:val="0"/>
          <w:marRight w:val="0"/>
          <w:marTop w:val="0"/>
          <w:marBottom w:val="0"/>
          <w:divBdr>
            <w:top w:val="none" w:sz="0" w:space="0" w:color="auto"/>
            <w:left w:val="none" w:sz="0" w:space="0" w:color="auto"/>
            <w:bottom w:val="none" w:sz="0" w:space="0" w:color="auto"/>
            <w:right w:val="none" w:sz="0" w:space="0" w:color="auto"/>
          </w:divBdr>
        </w:div>
        <w:div w:id="79180651">
          <w:marLeft w:val="0"/>
          <w:marRight w:val="0"/>
          <w:marTop w:val="0"/>
          <w:marBottom w:val="0"/>
          <w:divBdr>
            <w:top w:val="none" w:sz="0" w:space="0" w:color="auto"/>
            <w:left w:val="none" w:sz="0" w:space="0" w:color="auto"/>
            <w:bottom w:val="none" w:sz="0" w:space="0" w:color="auto"/>
            <w:right w:val="none" w:sz="0" w:space="0" w:color="auto"/>
          </w:divBdr>
        </w:div>
        <w:div w:id="832257797">
          <w:marLeft w:val="0"/>
          <w:marRight w:val="0"/>
          <w:marTop w:val="0"/>
          <w:marBottom w:val="0"/>
          <w:divBdr>
            <w:top w:val="none" w:sz="0" w:space="0" w:color="auto"/>
            <w:left w:val="none" w:sz="0" w:space="0" w:color="auto"/>
            <w:bottom w:val="none" w:sz="0" w:space="0" w:color="auto"/>
            <w:right w:val="none" w:sz="0" w:space="0" w:color="auto"/>
          </w:divBdr>
        </w:div>
        <w:div w:id="1051076045">
          <w:marLeft w:val="0"/>
          <w:marRight w:val="0"/>
          <w:marTop w:val="0"/>
          <w:marBottom w:val="0"/>
          <w:divBdr>
            <w:top w:val="none" w:sz="0" w:space="0" w:color="auto"/>
            <w:left w:val="none" w:sz="0" w:space="0" w:color="auto"/>
            <w:bottom w:val="none" w:sz="0" w:space="0" w:color="auto"/>
            <w:right w:val="none" w:sz="0" w:space="0" w:color="auto"/>
          </w:divBdr>
        </w:div>
        <w:div w:id="762918691">
          <w:marLeft w:val="0"/>
          <w:marRight w:val="0"/>
          <w:marTop w:val="0"/>
          <w:marBottom w:val="0"/>
          <w:divBdr>
            <w:top w:val="none" w:sz="0" w:space="0" w:color="auto"/>
            <w:left w:val="none" w:sz="0" w:space="0" w:color="auto"/>
            <w:bottom w:val="none" w:sz="0" w:space="0" w:color="auto"/>
            <w:right w:val="none" w:sz="0" w:space="0" w:color="auto"/>
          </w:divBdr>
        </w:div>
        <w:div w:id="1161963710">
          <w:marLeft w:val="0"/>
          <w:marRight w:val="0"/>
          <w:marTop w:val="0"/>
          <w:marBottom w:val="0"/>
          <w:divBdr>
            <w:top w:val="none" w:sz="0" w:space="0" w:color="auto"/>
            <w:left w:val="none" w:sz="0" w:space="0" w:color="auto"/>
            <w:bottom w:val="none" w:sz="0" w:space="0" w:color="auto"/>
            <w:right w:val="none" w:sz="0" w:space="0" w:color="auto"/>
          </w:divBdr>
        </w:div>
        <w:div w:id="359863828">
          <w:marLeft w:val="0"/>
          <w:marRight w:val="0"/>
          <w:marTop w:val="0"/>
          <w:marBottom w:val="0"/>
          <w:divBdr>
            <w:top w:val="none" w:sz="0" w:space="0" w:color="auto"/>
            <w:left w:val="none" w:sz="0" w:space="0" w:color="auto"/>
            <w:bottom w:val="none" w:sz="0" w:space="0" w:color="auto"/>
            <w:right w:val="none" w:sz="0" w:space="0" w:color="auto"/>
          </w:divBdr>
        </w:div>
        <w:div w:id="31464748">
          <w:marLeft w:val="0"/>
          <w:marRight w:val="0"/>
          <w:marTop w:val="0"/>
          <w:marBottom w:val="0"/>
          <w:divBdr>
            <w:top w:val="none" w:sz="0" w:space="0" w:color="auto"/>
            <w:left w:val="none" w:sz="0" w:space="0" w:color="auto"/>
            <w:bottom w:val="none" w:sz="0" w:space="0" w:color="auto"/>
            <w:right w:val="none" w:sz="0" w:space="0" w:color="auto"/>
          </w:divBdr>
        </w:div>
        <w:div w:id="1131095565">
          <w:marLeft w:val="0"/>
          <w:marRight w:val="0"/>
          <w:marTop w:val="0"/>
          <w:marBottom w:val="0"/>
          <w:divBdr>
            <w:top w:val="none" w:sz="0" w:space="0" w:color="auto"/>
            <w:left w:val="none" w:sz="0" w:space="0" w:color="auto"/>
            <w:bottom w:val="none" w:sz="0" w:space="0" w:color="auto"/>
            <w:right w:val="none" w:sz="0" w:space="0" w:color="auto"/>
          </w:divBdr>
        </w:div>
        <w:div w:id="1543666338">
          <w:marLeft w:val="0"/>
          <w:marRight w:val="0"/>
          <w:marTop w:val="0"/>
          <w:marBottom w:val="0"/>
          <w:divBdr>
            <w:top w:val="none" w:sz="0" w:space="0" w:color="auto"/>
            <w:left w:val="none" w:sz="0" w:space="0" w:color="auto"/>
            <w:bottom w:val="none" w:sz="0" w:space="0" w:color="auto"/>
            <w:right w:val="none" w:sz="0" w:space="0" w:color="auto"/>
          </w:divBdr>
        </w:div>
        <w:div w:id="1227913714">
          <w:marLeft w:val="0"/>
          <w:marRight w:val="0"/>
          <w:marTop w:val="0"/>
          <w:marBottom w:val="0"/>
          <w:divBdr>
            <w:top w:val="none" w:sz="0" w:space="0" w:color="auto"/>
            <w:left w:val="none" w:sz="0" w:space="0" w:color="auto"/>
            <w:bottom w:val="none" w:sz="0" w:space="0" w:color="auto"/>
            <w:right w:val="none" w:sz="0" w:space="0" w:color="auto"/>
          </w:divBdr>
        </w:div>
        <w:div w:id="1952085538">
          <w:marLeft w:val="0"/>
          <w:marRight w:val="0"/>
          <w:marTop w:val="0"/>
          <w:marBottom w:val="0"/>
          <w:divBdr>
            <w:top w:val="none" w:sz="0" w:space="0" w:color="auto"/>
            <w:left w:val="none" w:sz="0" w:space="0" w:color="auto"/>
            <w:bottom w:val="none" w:sz="0" w:space="0" w:color="auto"/>
            <w:right w:val="none" w:sz="0" w:space="0" w:color="auto"/>
          </w:divBdr>
        </w:div>
        <w:div w:id="860704259">
          <w:marLeft w:val="0"/>
          <w:marRight w:val="0"/>
          <w:marTop w:val="0"/>
          <w:marBottom w:val="0"/>
          <w:divBdr>
            <w:top w:val="none" w:sz="0" w:space="0" w:color="auto"/>
            <w:left w:val="none" w:sz="0" w:space="0" w:color="auto"/>
            <w:bottom w:val="none" w:sz="0" w:space="0" w:color="auto"/>
            <w:right w:val="none" w:sz="0" w:space="0" w:color="auto"/>
          </w:divBdr>
        </w:div>
        <w:div w:id="1452632595">
          <w:marLeft w:val="0"/>
          <w:marRight w:val="0"/>
          <w:marTop w:val="0"/>
          <w:marBottom w:val="0"/>
          <w:divBdr>
            <w:top w:val="none" w:sz="0" w:space="0" w:color="auto"/>
            <w:left w:val="none" w:sz="0" w:space="0" w:color="auto"/>
            <w:bottom w:val="none" w:sz="0" w:space="0" w:color="auto"/>
            <w:right w:val="none" w:sz="0" w:space="0" w:color="auto"/>
          </w:divBdr>
        </w:div>
        <w:div w:id="267665739">
          <w:marLeft w:val="0"/>
          <w:marRight w:val="0"/>
          <w:marTop w:val="0"/>
          <w:marBottom w:val="0"/>
          <w:divBdr>
            <w:top w:val="none" w:sz="0" w:space="0" w:color="auto"/>
            <w:left w:val="none" w:sz="0" w:space="0" w:color="auto"/>
            <w:bottom w:val="none" w:sz="0" w:space="0" w:color="auto"/>
            <w:right w:val="none" w:sz="0" w:space="0" w:color="auto"/>
          </w:divBdr>
        </w:div>
        <w:div w:id="114062939">
          <w:marLeft w:val="0"/>
          <w:marRight w:val="0"/>
          <w:marTop w:val="0"/>
          <w:marBottom w:val="0"/>
          <w:divBdr>
            <w:top w:val="none" w:sz="0" w:space="0" w:color="auto"/>
            <w:left w:val="none" w:sz="0" w:space="0" w:color="auto"/>
            <w:bottom w:val="none" w:sz="0" w:space="0" w:color="auto"/>
            <w:right w:val="none" w:sz="0" w:space="0" w:color="auto"/>
          </w:divBdr>
        </w:div>
      </w:divsChild>
    </w:div>
    <w:div w:id="1027953092">
      <w:bodyDiv w:val="1"/>
      <w:marLeft w:val="0"/>
      <w:marRight w:val="0"/>
      <w:marTop w:val="0"/>
      <w:marBottom w:val="0"/>
      <w:divBdr>
        <w:top w:val="none" w:sz="0" w:space="0" w:color="auto"/>
        <w:left w:val="none" w:sz="0" w:space="0" w:color="auto"/>
        <w:bottom w:val="none" w:sz="0" w:space="0" w:color="auto"/>
        <w:right w:val="none" w:sz="0" w:space="0" w:color="auto"/>
      </w:divBdr>
      <w:divsChild>
        <w:div w:id="1840348831">
          <w:marLeft w:val="0"/>
          <w:marRight w:val="0"/>
          <w:marTop w:val="0"/>
          <w:marBottom w:val="0"/>
          <w:divBdr>
            <w:top w:val="none" w:sz="0" w:space="0" w:color="auto"/>
            <w:left w:val="none" w:sz="0" w:space="0" w:color="auto"/>
            <w:bottom w:val="none" w:sz="0" w:space="0" w:color="auto"/>
            <w:right w:val="none" w:sz="0" w:space="0" w:color="auto"/>
          </w:divBdr>
        </w:div>
        <w:div w:id="956302091">
          <w:marLeft w:val="0"/>
          <w:marRight w:val="0"/>
          <w:marTop w:val="0"/>
          <w:marBottom w:val="0"/>
          <w:divBdr>
            <w:top w:val="none" w:sz="0" w:space="0" w:color="auto"/>
            <w:left w:val="none" w:sz="0" w:space="0" w:color="auto"/>
            <w:bottom w:val="none" w:sz="0" w:space="0" w:color="auto"/>
            <w:right w:val="none" w:sz="0" w:space="0" w:color="auto"/>
          </w:divBdr>
        </w:div>
      </w:divsChild>
    </w:div>
    <w:div w:id="1149135612">
      <w:bodyDiv w:val="1"/>
      <w:marLeft w:val="0"/>
      <w:marRight w:val="0"/>
      <w:marTop w:val="0"/>
      <w:marBottom w:val="0"/>
      <w:divBdr>
        <w:top w:val="none" w:sz="0" w:space="0" w:color="auto"/>
        <w:left w:val="none" w:sz="0" w:space="0" w:color="auto"/>
        <w:bottom w:val="none" w:sz="0" w:space="0" w:color="auto"/>
        <w:right w:val="none" w:sz="0" w:space="0" w:color="auto"/>
      </w:divBdr>
    </w:div>
    <w:div w:id="1340540005">
      <w:bodyDiv w:val="1"/>
      <w:marLeft w:val="0"/>
      <w:marRight w:val="0"/>
      <w:marTop w:val="0"/>
      <w:marBottom w:val="0"/>
      <w:divBdr>
        <w:top w:val="none" w:sz="0" w:space="0" w:color="auto"/>
        <w:left w:val="none" w:sz="0" w:space="0" w:color="auto"/>
        <w:bottom w:val="none" w:sz="0" w:space="0" w:color="auto"/>
        <w:right w:val="none" w:sz="0" w:space="0" w:color="auto"/>
      </w:divBdr>
    </w:div>
    <w:div w:id="1464419631">
      <w:bodyDiv w:val="1"/>
      <w:marLeft w:val="0"/>
      <w:marRight w:val="0"/>
      <w:marTop w:val="0"/>
      <w:marBottom w:val="0"/>
      <w:divBdr>
        <w:top w:val="none" w:sz="0" w:space="0" w:color="auto"/>
        <w:left w:val="none" w:sz="0" w:space="0" w:color="auto"/>
        <w:bottom w:val="none" w:sz="0" w:space="0" w:color="auto"/>
        <w:right w:val="none" w:sz="0" w:space="0" w:color="auto"/>
      </w:divBdr>
    </w:div>
    <w:div w:id="1508790369">
      <w:bodyDiv w:val="1"/>
      <w:marLeft w:val="0"/>
      <w:marRight w:val="0"/>
      <w:marTop w:val="0"/>
      <w:marBottom w:val="0"/>
      <w:divBdr>
        <w:top w:val="none" w:sz="0" w:space="0" w:color="auto"/>
        <w:left w:val="none" w:sz="0" w:space="0" w:color="auto"/>
        <w:bottom w:val="none" w:sz="0" w:space="0" w:color="auto"/>
        <w:right w:val="none" w:sz="0" w:space="0" w:color="auto"/>
      </w:divBdr>
      <w:divsChild>
        <w:div w:id="760298446">
          <w:marLeft w:val="0"/>
          <w:marRight w:val="0"/>
          <w:marTop w:val="0"/>
          <w:marBottom w:val="0"/>
          <w:divBdr>
            <w:top w:val="none" w:sz="0" w:space="0" w:color="auto"/>
            <w:left w:val="none" w:sz="0" w:space="0" w:color="auto"/>
            <w:bottom w:val="none" w:sz="0" w:space="0" w:color="auto"/>
            <w:right w:val="none" w:sz="0" w:space="0" w:color="auto"/>
          </w:divBdr>
        </w:div>
      </w:divsChild>
    </w:div>
    <w:div w:id="1661303815">
      <w:bodyDiv w:val="1"/>
      <w:marLeft w:val="0"/>
      <w:marRight w:val="0"/>
      <w:marTop w:val="0"/>
      <w:marBottom w:val="0"/>
      <w:divBdr>
        <w:top w:val="none" w:sz="0" w:space="0" w:color="auto"/>
        <w:left w:val="none" w:sz="0" w:space="0" w:color="auto"/>
        <w:bottom w:val="none" w:sz="0" w:space="0" w:color="auto"/>
        <w:right w:val="none" w:sz="0" w:space="0" w:color="auto"/>
      </w:divBdr>
      <w:divsChild>
        <w:div w:id="1114206896">
          <w:marLeft w:val="0"/>
          <w:marRight w:val="0"/>
          <w:marTop w:val="0"/>
          <w:marBottom w:val="0"/>
          <w:divBdr>
            <w:top w:val="none" w:sz="0" w:space="0" w:color="auto"/>
            <w:left w:val="none" w:sz="0" w:space="0" w:color="auto"/>
            <w:bottom w:val="none" w:sz="0" w:space="0" w:color="auto"/>
            <w:right w:val="none" w:sz="0" w:space="0" w:color="auto"/>
          </w:divBdr>
        </w:div>
        <w:div w:id="1982883119">
          <w:marLeft w:val="0"/>
          <w:marRight w:val="0"/>
          <w:marTop w:val="0"/>
          <w:marBottom w:val="0"/>
          <w:divBdr>
            <w:top w:val="none" w:sz="0" w:space="0" w:color="auto"/>
            <w:left w:val="none" w:sz="0" w:space="0" w:color="auto"/>
            <w:bottom w:val="none" w:sz="0" w:space="0" w:color="auto"/>
            <w:right w:val="none" w:sz="0" w:space="0" w:color="auto"/>
          </w:divBdr>
        </w:div>
        <w:div w:id="1406993649">
          <w:marLeft w:val="0"/>
          <w:marRight w:val="0"/>
          <w:marTop w:val="0"/>
          <w:marBottom w:val="0"/>
          <w:divBdr>
            <w:top w:val="none" w:sz="0" w:space="0" w:color="auto"/>
            <w:left w:val="none" w:sz="0" w:space="0" w:color="auto"/>
            <w:bottom w:val="none" w:sz="0" w:space="0" w:color="auto"/>
            <w:right w:val="none" w:sz="0" w:space="0" w:color="auto"/>
          </w:divBdr>
        </w:div>
        <w:div w:id="537207116">
          <w:marLeft w:val="0"/>
          <w:marRight w:val="0"/>
          <w:marTop w:val="0"/>
          <w:marBottom w:val="0"/>
          <w:divBdr>
            <w:top w:val="none" w:sz="0" w:space="0" w:color="auto"/>
            <w:left w:val="none" w:sz="0" w:space="0" w:color="auto"/>
            <w:bottom w:val="none" w:sz="0" w:space="0" w:color="auto"/>
            <w:right w:val="none" w:sz="0" w:space="0" w:color="auto"/>
          </w:divBdr>
        </w:div>
        <w:div w:id="1794589489">
          <w:marLeft w:val="0"/>
          <w:marRight w:val="0"/>
          <w:marTop w:val="0"/>
          <w:marBottom w:val="0"/>
          <w:divBdr>
            <w:top w:val="none" w:sz="0" w:space="0" w:color="auto"/>
            <w:left w:val="none" w:sz="0" w:space="0" w:color="auto"/>
            <w:bottom w:val="none" w:sz="0" w:space="0" w:color="auto"/>
            <w:right w:val="none" w:sz="0" w:space="0" w:color="auto"/>
          </w:divBdr>
        </w:div>
        <w:div w:id="1218857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E7F90-1D29-493C-95A1-A66FA86B1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5</Pages>
  <Words>2726</Words>
  <Characters>15544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Henrik Asplund</cp:lastModifiedBy>
  <cp:revision>18</cp:revision>
  <cp:lastPrinted>2016-05-04T15:07:00Z</cp:lastPrinted>
  <dcterms:created xsi:type="dcterms:W3CDTF">2016-05-13T14:41:00Z</dcterms:created>
  <dcterms:modified xsi:type="dcterms:W3CDTF">2016-05-13T23:26:00Z</dcterms:modified>
</cp:coreProperties>
</file>